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**ID__DLAD_11_402-90__ID**</w:t>
      </w:r>
    </w:p>
    <w:p>
      <w:pPr>
        <w:pStyle w:val="Heading3"/>
        <w:spacing w:after="199"/>
        <w:ind w:left="120"/>
        <w:jc w:val="left"/>
      </w:pPr>
      <w:r>
        <w:rPr>
          <w:rFonts w:ascii="Times New Roman" w:hAnsi="Times New Roman"/>
          <w:color w:val="000000"/>
          <w:sz w:val="31"/>
        </w:rPr>
        <w:t>11.402-90</w:t>
      </w:r>
      <w:r>
        <w:rPr>
          <w:rFonts w:ascii="Times New Roman" w:hAnsi="Times New Roman"/>
          <w:color w:val="000000"/>
          <w:sz w:val="31"/>
        </w:rPr>
        <w:t xml:space="preserve"> Time definite delivery (TDD) standards.</w:t>
      </w:r>
    </w:p>
    <w:p>
      <w:pPr>
        <w:pBdr>
          <w:top w:space="5"/>
          <w:left w:space="5"/>
          <w:bottom w:space="5"/>
          <w:right w:space="5"/>
        </w:pBdr>
        <w:spacing w:after="0"/>
        <w:ind w:left="225"/>
        <w:jc w:val="left"/>
      </w:pPr>
      <w:r>
        <w:rPr>
          <w:rFonts w:ascii="Times New Roman" w:hAnsi="Times New Roman"/>
          <w:b w:val="false"/>
          <w:i w:val="false"/>
          <w:color w:val="000000"/>
          <w:sz w:val="22"/>
        </w:rPr>
        <w:t>Customer direct requirements on planned direct vendor delivery (DVD) contracts shall meet the TDD standards. Contract delivery time frames shall align to one of the following supplier responsibility points.</w:t>
      </w:r>
    </w:p>
    <w:p>
      <w:pPr>
        <w:pBdr>
          <w:top w:space="5"/>
          <w:left w:space="5"/>
          <w:bottom w:space="5"/>
          <w:right w:space="5"/>
        </w:pBdr>
        <w:spacing w:after="0"/>
        <w:ind w:left="225"/>
        <w:jc w:val="center"/>
      </w:pPr>
      <w:r>
        <w:rPr>
          <w:rFonts w:ascii="Times New Roman" w:hAnsi="Times New Roman"/>
          <w:b/>
          <w:i w:val="false"/>
          <w:color w:val="000000"/>
          <w:sz w:val="22"/>
        </w:rPr>
        <w:t>TIME DEFINITE DELIVERY (TDD) STANDARDS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Supplier Responsibility Point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Number of Days</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 of Materiel to DCMA or Transporter - CAT 1</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day</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 of Materiel to DCMA or Transporter - CAT 2</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 days</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 of Materiel to DCMA or Transporter - CAT 3</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days</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Transporter carrier drop-off (at CONUS location) - CAT 1</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 days</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Transporter carrier drop-off (at CONUS location) - CAT 2</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 days</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Transporter carrier drop-off (at CONUS location) - CAT 3</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 days</w:t>
            </w:r>
          </w:p>
        </w:tc>
      </w:tr>
    </w:tbl>
    <w:p>
      <w:pPr>
        <w:pBdr>
          <w:top w:space="5"/>
          <w:left w:space="5"/>
          <w:bottom w:space="5"/>
          <w:right w:space="5"/>
        </w:pBdr>
        <w:spacing w:after="0"/>
        <w:ind w:left="225"/>
        <w:jc w:val="left"/>
      </w:pPr>
      <w:r>
        <w:rPr>
          <w:rFonts w:ascii="Times New Roman" w:hAnsi="Times New Roman"/>
          <w:b w:val="false"/>
          <w:i w:val="false"/>
          <w:color w:val="000000"/>
          <w:sz w:val="22"/>
        </w:rPr>
        <w:t>Compliance with TDD standards shall be reviewed prior to option invocation and a waiver obtained prior to contract option invocation if supplier cannot meet the standards or cost to meet the standard is excessive.</w:t>
      </w:r>
    </w:p>
    <w:p>
      <w:pPr>
        <w:pBdr>
          <w:top w:space="5"/>
          <w:left w:space="5"/>
          <w:bottom w:space="5"/>
          <w:right w:space="5"/>
        </w:pBdr>
        <w:spacing w:after="0"/>
        <w:ind w:left="225"/>
        <w:jc w:val="left"/>
      </w:pPr>
      <w:r>
        <w:rPr>
          <w:rFonts w:ascii="Times New Roman" w:hAnsi="Times New Roman"/>
          <w:b w:val="false"/>
          <w:i w:val="false"/>
          <w:color w:val="000000"/>
          <w:sz w:val="22"/>
        </w:rPr>
        <w:t xml:space="preserve">Commercial industry standards exceeding TDD standards or excessive cost for TDD standards shall be discussed with and approved by customers and Planning. When the supplier's capability exceeds the standards, the contracting officer will coordinate with the requirements personnel and negotiate delivery standards to meet the needs of DLA customers at the best value to the government. A waiver to TDD standards is not required for the exceptions in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11.402-91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business decision must be documented by an economic analysis, business case analysis, or vendor stock retention model analysis. The DLA Acquisition Programs Division oversees compliance with DLAI 2112, Procedures for Initiating and Monitoring Planned Customer Direct Long-Term Contracts by conducting quarterly reviews of all planned DVD contracts and reporting the findings to the HCAs and the DLA Acquisition Director.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11.402-91.dita#DLAD_11_402-91"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