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**ID__DLAD_11_9101__ID**</w:t>
      </w:r>
    </w:p>
    <w:p>
      <w:pPr>
        <w:pStyle w:val="Heading3"/>
        <w:spacing w:after="199"/>
        <w:ind w:left="120"/>
        <w:jc w:val="left"/>
      </w:pPr>
      <w:r>
        <w:rPr>
          <w:rFonts w:ascii="Times New Roman" w:hAnsi="Times New Roman"/>
          <w:color w:val="000000"/>
          <w:sz w:val="31"/>
        </w:rPr>
        <w:t>11.9101</w:t>
      </w:r>
      <w:r>
        <w:rPr>
          <w:rFonts w:ascii="Times New Roman" w:hAnsi="Times New Roman"/>
          <w:color w:val="000000"/>
          <w:sz w:val="31"/>
        </w:rPr>
        <w:t xml:space="preserve"> Procurement note.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