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**ID__DLAD_11_9202__ID**</w:t>
      </w:r>
    </w:p>
    <w:p>
      <w:pPr>
        <w:pStyle w:val="Heading3"/>
        <w:spacing w:after="199"/>
        <w:ind w:left="120"/>
        <w:jc w:val="left"/>
      </w:pPr>
      <w:r>
        <w:rPr>
          <w:rFonts w:ascii="Times New Roman" w:hAnsi="Times New Roman"/>
          <w:color w:val="000000"/>
          <w:sz w:val="31"/>
        </w:rPr>
        <w:t>11.9202</w:t>
      </w:r>
      <w:r>
        <w:rPr>
          <w:rFonts w:ascii="Times New Roman" w:hAnsi="Times New Roman"/>
          <w:color w:val="000000"/>
          <w:sz w:val="31"/>
        </w:rPr>
        <w:t xml:space="preserve"> Acquisition of FAA certified parts for depot level repairable (DLR) items.</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acquire FAA certified parts for DLR items based on the requiring activity’s requirements and acceptable sources, as stated in documentation that accompanies the purchase request and in the following:</w:t>
      </w:r>
    </w:p>
    <w:p>
      <w:pPr>
        <w:pBdr>
          <w:top w:space="5"/>
          <w:left w:space="5"/>
          <w:bottom w:space="5"/>
          <w:right w:space="5"/>
        </w:pBdr>
        <w:spacing w:after="0"/>
        <w:ind w:left="585"/>
        <w:jc w:val="left"/>
      </w:pPr>
      <w:r>
        <w:rPr>
          <w:rFonts w:ascii="Times New Roman" w:hAnsi="Times New Roman"/>
          <w:b w:val="false"/>
          <w:i w:val="false"/>
          <w:color w:val="000000"/>
          <w:sz w:val="22"/>
        </w:rPr>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pPr>
        <w:pBdr>
          <w:top w:space="5"/>
          <w:left w:space="5"/>
          <w:bottom w:space="5"/>
          <w:right w:space="5"/>
        </w:pBdr>
        <w:spacing w:after="0"/>
        <w:ind w:left="585"/>
        <w:jc w:val="left"/>
      </w:pPr>
      <w:r>
        <w:rPr>
          <w:rFonts w:ascii="Times New Roman" w:hAnsi="Times New Roman"/>
          <w:b w:val="false"/>
          <w:i w:val="false"/>
          <w:color w:val="000000"/>
          <w:sz w:val="22"/>
        </w:rPr>
        <w:t>(2) AFMC Form 807, Recommended Quality Assurance Provisions and Special Inspection: Requirements, which contains special inspection requirements and/or instructions for the procurement of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(c) Government surplus material is not acceptable for FAA certified parts. The contractor shall furnish only new, unused material.</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include procurement note C22 in all solicitations and awards when procuring FAA certified parts for DLR items.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C22 Federal Aviation Administration (FAA) Certified Parts – Depot Level Repairable (DLR) Items (DEC 2018)</w:t>
      </w:r>
    </w:p>
    <w:p>
      <w:pPr>
        <w:pBdr>
          <w:top w:space="5"/>
          <w:left w:space="5"/>
          <w:bottom w:space="5"/>
          <w:right w:space="5"/>
        </w:pBdr>
        <w:spacing w:after="0"/>
        <w:ind w:left="225"/>
        <w:jc w:val="left"/>
      </w:pPr>
      <w:r>
        <w:rPr>
          <w:rFonts w:ascii="Times New Roman" w:hAnsi="Times New Roman"/>
          <w:b w:val="false"/>
          <w:i w:val="false"/>
          <w:color w:val="000000"/>
          <w:sz w:val="22"/>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