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**ID__DLAD_12_102__ID**</w:t>
      </w:r>
    </w:p>
    <w:p>
      <w:pPr>
        <w:pStyle w:val="Heading3"/>
        <w:spacing w:after="199"/>
        <w:ind w:left="120"/>
        <w:jc w:val="left"/>
      </w:pPr>
      <w:r>
        <w:rPr>
          <w:rFonts w:ascii="Times New Roman" w:hAnsi="Times New Roman"/>
          <w:color w:val="000000"/>
          <w:sz w:val="31"/>
        </w:rPr>
        <w:t>12.102</w:t>
      </w:r>
      <w:r>
        <w:rPr>
          <w:rFonts w:ascii="Times New Roman" w:hAnsi="Times New Roman"/>
          <w:color w:val="000000"/>
          <w:sz w:val="31"/>
        </w:rPr>
        <w:t xml:space="preserve"> Applicability.</w:t>
      </w:r>
    </w:p>
    <w:p>
      <w:pPr>
        <w:pBdr>
          <w:top w:space="5"/>
          <w:left w:space="5"/>
          <w:bottom w:space="5"/>
          <w:right w:space="5"/>
        </w:pBdr>
        <w:spacing w:after="0"/>
        <w:ind w:left="225"/>
        <w:jc w:val="left"/>
      </w:pPr>
      <w:r>
        <w:rPr>
          <w:rFonts w:ascii="Times New Roman" w:hAnsi="Times New Roman"/>
          <w:b w:val="false"/>
          <w:i w:val="false"/>
          <w:color w:val="000000"/>
          <w:sz w:val="22"/>
        </w:rPr>
        <w:t>(a)(S-90) Part 12 is mandatory for the acquisition of commercial items, except for the exemptions at FAR 12.102(e). Part 12 cannot be used when—</w:t>
      </w:r>
    </w:p>
    <w:p>
      <w:pPr>
        <w:pBdr>
          <w:top w:space="5"/>
          <w:left w:space="5"/>
          <w:bottom w:space="5"/>
          <w:right w:space="5"/>
        </w:pBdr>
        <w:spacing w:after="0"/>
        <w:ind w:left="585"/>
        <w:jc w:val="left"/>
      </w:pPr>
      <w:r>
        <w:rPr>
          <w:rFonts w:ascii="Times New Roman" w:hAnsi="Times New Roman"/>
          <w:b w:val="false"/>
          <w:i w:val="false"/>
          <w:color w:val="000000"/>
          <w:sz w:val="22"/>
        </w:rPr>
        <w:t>(1) The material master indicates the item is not commercial.</w:t>
      </w:r>
    </w:p>
    <w:p>
      <w:pPr>
        <w:pBdr>
          <w:top w:space="5"/>
          <w:left w:space="5"/>
          <w:bottom w:space="5"/>
          <w:right w:space="5"/>
        </w:pBdr>
        <w:spacing w:after="0"/>
        <w:ind w:left="585"/>
        <w:jc w:val="left"/>
      </w:pPr>
      <w:r>
        <w:rPr>
          <w:rFonts w:ascii="Times New Roman" w:hAnsi="Times New Roman"/>
          <w:b w:val="false"/>
          <w:i w:val="false"/>
          <w:color w:val="000000"/>
          <w:sz w:val="22"/>
        </w:rPr>
        <w:t>(2) The material master does not indicate whether the item is commercial, but the item is clearly Government-unique.</w:t>
      </w:r>
    </w:p>
    <w:p>
      <w:pPr>
        <w:pBdr>
          <w:top w:space="5"/>
          <w:left w:space="5"/>
          <w:bottom w:space="5"/>
          <w:right w:space="5"/>
        </w:pBdr>
        <w:spacing w:after="0"/>
        <w:ind w:left="585"/>
        <w:jc w:val="left"/>
      </w:pPr>
      <w:r>
        <w:rPr>
          <w:rFonts w:ascii="Times New Roman" w:hAnsi="Times New Roman"/>
          <w:b w:val="false"/>
          <w:i w:val="false"/>
          <w:color w:val="000000"/>
          <w:sz w:val="22"/>
        </w:rPr>
        <w:t>(3) The acquisition is conducted using an automated procurement system that does not include FAR Part 12 terms and conditions.</w:t>
      </w:r>
    </w:p>
    <w:p>
      <w:pPr>
        <w:pBdr>
          <w:top w:space="5"/>
          <w:left w:space="5"/>
          <w:bottom w:space="5"/>
          <w:right w:space="5"/>
        </w:pBdr>
        <w:spacing w:after="0"/>
        <w:ind w:left="585"/>
        <w:jc w:val="left"/>
      </w:pPr>
      <w:r>
        <w:rPr>
          <w:rFonts w:ascii="Times New Roman" w:hAnsi="Times New Roman"/>
          <w:b w:val="false"/>
          <w:i w:val="false"/>
          <w:color w:val="000000"/>
          <w:sz w:val="22"/>
        </w:rPr>
        <w:t>(4) An order is issued against a pre-existing non-Part 12 contract.</w:t>
      </w:r>
    </w:p>
    <w:p>
      <w:pPr>
        <w:pBdr>
          <w:top w:space="5"/>
          <w:left w:space="5"/>
          <w:bottom w:space="5"/>
          <w:right w:space="5"/>
        </w:pBdr>
        <w:spacing w:after="0"/>
        <w:ind w:left="585"/>
        <w:jc w:val="left"/>
      </w:pPr>
      <w:r>
        <w:rPr>
          <w:rFonts w:ascii="Times New Roman" w:hAnsi="Times New Roman"/>
          <w:b w:val="false"/>
          <w:i w:val="false"/>
          <w:color w:val="000000"/>
          <w:sz w:val="22"/>
        </w:rPr>
        <w:t>(5) The following conditions apply:</w:t>
      </w:r>
    </w:p>
    <w:p>
      <w:pPr>
        <w:pBdr>
          <w:top w:space="5"/>
          <w:left w:space="5"/>
          <w:bottom w:space="5"/>
          <w:right w:space="5"/>
        </w:pBdr>
        <w:spacing w:after="0"/>
        <w:ind w:left="945"/>
        <w:jc w:val="left"/>
      </w:pPr>
      <w:r>
        <w:rPr>
          <w:rFonts w:ascii="Times New Roman" w:hAnsi="Times New Roman"/>
          <w:b w:val="false"/>
          <w:i w:val="false"/>
          <w:color w:val="000000"/>
          <w:sz w:val="22"/>
        </w:rPr>
        <w:t>(i) The material master does not indicate whether the item is commercial;</w:t>
      </w:r>
    </w:p>
    <w:p>
      <w:pPr>
        <w:pBdr>
          <w:top w:space="5"/>
          <w:left w:space="5"/>
          <w:bottom w:space="5"/>
          <w:right w:space="5"/>
        </w:pBdr>
        <w:spacing w:after="0"/>
        <w:ind w:left="945"/>
        <w:jc w:val="left"/>
      </w:pPr>
      <w:r>
        <w:rPr>
          <w:rFonts w:ascii="Times New Roman" w:hAnsi="Times New Roman"/>
          <w:b w:val="false"/>
          <w:i w:val="false"/>
          <w:color w:val="000000"/>
          <w:sz w:val="22"/>
        </w:rPr>
        <w:t>(ii) It is unclear whether the item is a type that is used by non-Government customers;</w:t>
      </w:r>
    </w:p>
    <w:p>
      <w:pPr>
        <w:pBdr>
          <w:top w:space="5"/>
          <w:left w:space="5"/>
          <w:bottom w:space="5"/>
          <w:right w:space="5"/>
        </w:pBdr>
        <w:spacing w:after="0"/>
        <w:ind w:left="945"/>
        <w:jc w:val="left"/>
      </w:pPr>
      <w:r>
        <w:rPr>
          <w:rFonts w:ascii="Times New Roman" w:hAnsi="Times New Roman"/>
          <w:b w:val="false"/>
          <w:i w:val="false"/>
          <w:color w:val="000000"/>
          <w:sz w:val="22"/>
        </w:rPr>
        <w:t>(iii) The acquisition is valued under the SAT; and</w:t>
      </w:r>
    </w:p>
    <w:p>
      <w:pPr>
        <w:pBdr>
          <w:top w:space="5"/>
          <w:left w:space="5"/>
          <w:bottom w:space="5"/>
          <w:right w:space="5"/>
        </w:pBdr>
        <w:spacing w:after="0"/>
        <w:ind w:left="945"/>
        <w:jc w:val="left"/>
      </w:pPr>
      <w:r>
        <w:rPr>
          <w:rFonts w:ascii="Times New Roman" w:hAnsi="Times New Roman"/>
          <w:b w:val="false"/>
          <w:i w:val="false"/>
          <w:color w:val="000000"/>
          <w:sz w:val="22"/>
        </w:rPr>
        <w:t>(iv) It is not cost-effective to conduct market research (reference FAR 10.001(a)(2)(iii)).</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 not the offeror or contractor – has the individual authority and responsibility to determine if an item or service meets the definition of “commercial item” in FAR 2.101.</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ensure adequate market research was conducted and supporting documentation obtained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 Inclusion of an item or service in a catalog or on a GSA schedule is insufficient rationale by itself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pPr>
        <w:pBdr>
          <w:top w:space="5"/>
          <w:left w:space="5"/>
          <w:bottom w:space="5"/>
          <w:right w:space="5"/>
        </w:pBdr>
        <w:spacing w:after="0"/>
        <w:ind w:left="945"/>
        <w:jc w:val="left"/>
      </w:pPr>
      <w:r>
        <w:rPr>
          <w:rFonts w:ascii="Times New Roman" w:hAnsi="Times New Roman"/>
          <w:b w:val="false"/>
          <w:i w:val="false"/>
          <w:color w:val="000000"/>
          <w:sz w:val="22"/>
        </w:rPr>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pPr>
        <w:pBdr>
          <w:top w:space="5"/>
          <w:left w:space="5"/>
          <w:bottom w:space="5"/>
          <w:right w:space="5"/>
        </w:pBdr>
        <w:spacing w:after="0"/>
        <w:ind w:left="585"/>
        <w:jc w:val="left"/>
      </w:pPr>
      <w:r>
        <w:rPr>
          <w:rFonts w:ascii="Times New Roman" w:hAnsi="Times New Roman"/>
          <w:b w:val="false"/>
          <w:i w:val="false"/>
          <w:color w:val="000000"/>
          <w:sz w:val="22"/>
        </w:rPr>
        <w:t>(3) Contracts for commercial items must require that items added to catalogs after award are subject to a determination of commerciality.</w:t>
      </w:r>
    </w:p>
    <w:p>
      <w:pPr>
        <w:pBdr>
          <w:top w:space="5"/>
          <w:left w:space="5"/>
          <w:bottom w:space="5"/>
          <w:right w:space="5"/>
        </w:pBdr>
        <w:spacing w:after="0"/>
        <w:ind w:left="585"/>
        <w:jc w:val="left"/>
      </w:pPr>
      <w:r>
        <w:rPr>
          <w:rFonts w:ascii="Times New Roman" w:hAnsi="Times New Roman"/>
          <w:b w:val="false"/>
          <w:i w:val="false"/>
          <w:color w:val="000000"/>
          <w:sz w:val="22"/>
        </w:rPr>
        <w:t>(S-92) For AbilityOne acquisitions (reference FAR Subpart 8.7), use of Part 12 is discretionary.</w:t>
      </w:r>
    </w:p>
    <w:p>
      <w:pPr>
        <w:pBdr>
          <w:top w:space="5"/>
          <w:left w:space="5"/>
          <w:bottom w:space="5"/>
          <w:right w:space="5"/>
        </w:pBdr>
        <w:spacing w:after="0"/>
        <w:ind w:left="585"/>
        <w:jc w:val="left"/>
      </w:pPr>
      <w:r>
        <w:rPr>
          <w:rFonts w:ascii="Times New Roman" w:hAnsi="Times New Roman"/>
          <w:b w:val="false"/>
          <w:i w:val="false"/>
          <w:color w:val="000000"/>
          <w:sz w:val="22"/>
        </w:rPr>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pPr>
        <w:pBdr>
          <w:top w:space="5"/>
          <w:left w:space="5"/>
          <w:bottom w:space="5"/>
          <w:right w:space="5"/>
        </w:pBdr>
        <w:spacing w:after="0"/>
        <w:ind w:left="585"/>
        <w:jc w:val="left"/>
      </w:pPr>
      <w:r>
        <w:rPr>
          <w:rFonts w:ascii="Times New Roman" w:hAnsi="Times New Roman"/>
          <w:b w:val="false"/>
          <w:i w:val="false"/>
          <w:color w:val="000000"/>
          <w:sz w:val="22"/>
        </w:rPr>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pPr>
        <w:pBdr>
          <w:top w:space="5"/>
          <w:left w:space="5"/>
          <w:bottom w:space="5"/>
          <w:right w:space="5"/>
        </w:pBdr>
        <w:spacing w:after="0"/>
        <w:ind w:left="585"/>
        <w:jc w:val="left"/>
      </w:pPr>
      <w:r>
        <w:rPr>
          <w:rFonts w:ascii="Times New Roman" w:hAnsi="Times New Roman"/>
          <w:b w:val="false"/>
          <w:i w:val="false"/>
          <w:color w:val="000000"/>
          <w:sz w:val="22"/>
        </w:rPr>
        <w:t>(S-95) The contracting officer makes the final determination of commerciality but is required to request and consider the advice of appropriate specialists (see FAR 1.602-2(c)). DCMA 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pPr>
        <w:pBdr>
          <w:top w:space="5"/>
          <w:left w:space="5"/>
          <w:bottom w:space="5"/>
          <w:right w:space="5"/>
        </w:pBdr>
        <w:spacing w:after="0"/>
        <w:ind w:left="585"/>
        <w:jc w:val="left"/>
      </w:pPr>
      <w:r>
        <w:rPr>
          <w:rFonts w:ascii="Times New Roman" w:hAnsi="Times New Roman"/>
          <w:b w:val="false"/>
          <w:i w:val="false"/>
          <w:color w:val="000000"/>
          <w:sz w:val="22"/>
        </w:rPr>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pPr>
        <w:pBdr>
          <w:top w:space="5"/>
          <w:left w:space="5"/>
          <w:bottom w:space="5"/>
          <w:right w:space="5"/>
        </w:pBdr>
        <w:spacing w:after="0"/>
        <w:ind w:left="945"/>
        <w:jc w:val="left"/>
      </w:pPr>
      <w:r>
        <w:rPr>
          <w:rFonts w:ascii="Times New Roman" w:hAnsi="Times New Roman"/>
          <w:b w:val="false"/>
          <w:i w:val="false"/>
          <w:color w:val="000000"/>
          <w:sz w:val="22"/>
        </w:rPr>
        <w:t>(i) Subsection (2). For items that upgrade frequently, through product updates, model changes, and product improvements (for example, new versions of software), buying activities could demonstrate that the item will be available in time to satisfy the Government requirement by, for example, obtaining an announcement documenting when the new product will be available to the public.</w:t>
      </w:r>
    </w:p>
    <w:p>
      <w:pPr>
        <w:pBdr>
          <w:top w:space="5"/>
          <w:left w:space="5"/>
          <w:bottom w:space="5"/>
          <w:right w:space="5"/>
        </w:pBdr>
        <w:spacing w:after="0"/>
        <w:ind w:left="945"/>
        <w:jc w:val="left"/>
      </w:pPr>
      <w:r>
        <w:rPr>
          <w:rFonts w:ascii="Times New Roman" w:hAnsi="Times New Roman"/>
          <w:b w:val="false"/>
          <w:i w:val="false"/>
          <w:color w:val="000000"/>
          <w:sz w:val="22"/>
        </w:rPr>
        <w:t>(ii)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pPr>
        <w:pBdr>
          <w:top w:space="5"/>
          <w:left w:space="5"/>
          <w:bottom w:space="5"/>
          <w:right w:space="5"/>
        </w:pBdr>
        <w:spacing w:after="0"/>
        <w:ind w:left="1305"/>
        <w:jc w:val="left"/>
      </w:pPr>
      <w:r>
        <w:rPr>
          <w:rFonts w:ascii="Times New Roman" w:hAnsi="Times New Roman"/>
          <w:b w:val="false"/>
          <w:i w:val="false"/>
          <w:color w:val="000000"/>
          <w:sz w:val="22"/>
        </w:rPr>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pPr>
        <w:pBdr>
          <w:top w:space="5"/>
          <w:left w:space="5"/>
          <w:bottom w:space="5"/>
          <w:right w:space="5"/>
        </w:pBdr>
        <w:spacing w:after="0"/>
        <w:ind w:left="1305"/>
        <w:jc w:val="left"/>
      </w:pPr>
      <w:r>
        <w:rPr>
          <w:rFonts w:ascii="Times New Roman" w:hAnsi="Times New Roman"/>
          <w:b w:val="false"/>
          <w:i w:val="false"/>
          <w:color w:val="000000"/>
          <w:sz w:val="22"/>
        </w:rPr>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pPr>
        <w:pBdr>
          <w:top w:space="5"/>
          <w:left w:space="5"/>
          <w:bottom w:space="5"/>
          <w:right w:space="5"/>
        </w:pBdr>
        <w:spacing w:after="0"/>
        <w:ind w:left="945"/>
        <w:jc w:val="left"/>
      </w:pPr>
      <w:r>
        <w:rPr>
          <w:rFonts w:ascii="Times New Roman" w:hAnsi="Times New Roman"/>
          <w:b w:val="false"/>
          <w:i w:val="false"/>
          <w:color w:val="000000"/>
          <w:sz w:val="22"/>
        </w:rPr>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pPr>
        <w:pBdr>
          <w:top w:space="5"/>
          <w:left w:space="5"/>
          <w:bottom w:space="5"/>
          <w:right w:space="5"/>
        </w:pBdr>
        <w:spacing w:after="0"/>
        <w:ind w:left="945"/>
        <w:jc w:val="left"/>
      </w:pPr>
      <w:r>
        <w:rPr>
          <w:rFonts w:ascii="Times New Roman" w:hAnsi="Times New Roman"/>
          <w:b w:val="false"/>
          <w:i w:val="false"/>
          <w:color w:val="000000"/>
          <w:sz w:val="22"/>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(S-97) </w:t>
      </w:r>
      <w:r>
        <w:rPr>
          <w:rFonts w:ascii="Times New Roman" w:hAnsi="Times New Roman"/>
          <w:b w:val="false"/>
          <w:i/>
          <w:color w:val="000000"/>
          <w:sz w:val="22"/>
        </w:rPr>
        <w:t>Potential indicators of commerciality</w:t>
      </w:r>
      <w:r>
        <w:rPr>
          <w:rFonts w:ascii="Times New Roman" w:hAnsi="Times New Roman"/>
          <w:b w:val="false"/>
          <w:i w:val="false"/>
          <w:color w:val="000000"/>
          <w:sz w:val="22"/>
        </w:rPr>
        <w:t>. The following guidance addresses some conditions that contracting officers may consider as indicators that an item or service is potentially commercial. In most cases, contracting officers will need to conduct additional market research to determine commerciality when these conditions exist.</w:t>
      </w:r>
    </w:p>
    <w:p>
      <w:pPr>
        <w:pBdr>
          <w:top w:space="5"/>
          <w:left w:space="5"/>
          <w:bottom w:space="5"/>
          <w:right w:space="5"/>
        </w:pBdr>
        <w:spacing w:after="0"/>
        <w:ind w:left="945"/>
        <w:jc w:val="left"/>
      </w:pPr>
      <w:r>
        <w:rPr>
          <w:rFonts w:ascii="Times New Roman" w:hAnsi="Times New Roman"/>
          <w:b w:val="false"/>
          <w:i w:val="false"/>
          <w:color w:val="000000"/>
          <w:sz w:val="22"/>
        </w:rPr>
        <w:t>(i) Commercial sales history.</w:t>
      </w:r>
    </w:p>
    <w:p>
      <w:pPr>
        <w:pBdr>
          <w:top w:space="5"/>
          <w:left w:space="5"/>
          <w:bottom w:space="5"/>
          <w:right w:space="5"/>
        </w:pBdr>
        <w:spacing w:after="0"/>
        <w:ind w:left="945"/>
        <w:jc w:val="left"/>
      </w:pPr>
      <w:r>
        <w:rPr>
          <w:rFonts w:ascii="Times New Roman" w:hAnsi="Times New Roman"/>
          <w:b w:val="false"/>
          <w:i w:val="false"/>
          <w:color w:val="000000"/>
          <w:sz w:val="22"/>
        </w:rPr>
        <w:t>(ii) Notices or brochures announcing new products or services.</w:t>
      </w:r>
    </w:p>
    <w:p>
      <w:pPr>
        <w:pBdr>
          <w:top w:space="5"/>
          <w:left w:space="5"/>
          <w:bottom w:space="5"/>
          <w:right w:space="5"/>
        </w:pBdr>
        <w:spacing w:after="0"/>
        <w:ind w:left="945"/>
        <w:jc w:val="left"/>
      </w:pPr>
      <w:r>
        <w:rPr>
          <w:rFonts w:ascii="Times New Roman" w:hAnsi="Times New Roman"/>
          <w:b w:val="false"/>
          <w:i w:val="false"/>
          <w:color w:val="000000"/>
          <w:sz w:val="22"/>
        </w:rPr>
        <w:t>(iii) Listing in catalogs or brochures.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Distributors.</w:t>
      </w:r>
      <w:r>
        <w:rPr>
          <w:rFonts w:ascii="Times New Roman" w:hAnsi="Times New Roman"/>
          <w:b w:val="false"/>
          <w:i w:val="false"/>
          <w:color w:val="000000"/>
          <w:sz w:val="22"/>
        </w:rPr>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Components of commercial end items.</w:t>
      </w:r>
      <w:r>
        <w:rPr>
          <w:rFonts w:ascii="Times New Roman" w:hAnsi="Times New Roman"/>
          <w:b w:val="false"/>
          <w:i w:val="false"/>
          <w:color w:val="000000"/>
          <w:sz w:val="22"/>
        </w:rPr>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pPr>
        <w:pBdr>
          <w:top w:space="5"/>
          <w:left w:space="5"/>
          <w:bottom w:space="5"/>
          <w:right w:space="5"/>
        </w:pBdr>
        <w:spacing w:after="0"/>
        <w:ind w:left="945"/>
        <w:jc w:val="left"/>
      </w:pPr>
      <w:r>
        <w:rPr>
          <w:rFonts w:ascii="Times New Roman" w:hAnsi="Times New Roman"/>
          <w:b w:val="false"/>
          <w:i w:val="false"/>
          <w:color w:val="000000"/>
          <w:sz w:val="22"/>
        </w:rPr>
        <w:t xml:space="preserve">(vi) </w:t>
      </w:r>
      <w:r>
        <w:rPr>
          <w:rFonts w:ascii="Times New Roman" w:hAnsi="Times New Roman"/>
          <w:b w:val="false"/>
          <w:i/>
          <w:color w:val="000000"/>
          <w:sz w:val="22"/>
        </w:rPr>
        <w:t>Prior agency or department determinations.</w:t>
      </w:r>
      <w:r>
        <w:rPr>
          <w:rFonts w:ascii="Times New Roman" w:hAnsi="Times New Roman"/>
          <w:b w:val="false"/>
          <w:i w:val="false"/>
          <w:color w:val="000000"/>
          <w:sz w:val="22"/>
        </w:rPr>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pPr>
        <w:pBdr>
          <w:top w:space="5"/>
          <w:left w:space="5"/>
          <w:bottom w:space="5"/>
          <w:right w:space="5"/>
        </w:pBdr>
        <w:spacing w:after="0"/>
        <w:ind w:left="945"/>
        <w:jc w:val="left"/>
      </w:pPr>
      <w:r>
        <w:rPr>
          <w:rFonts w:ascii="Times New Roman" w:hAnsi="Times New Roman"/>
          <w:b w:val="false"/>
          <w:i w:val="false"/>
          <w:color w:val="000000"/>
          <w:sz w:val="22"/>
        </w:rPr>
        <w:t xml:space="preserve">(vii) </w:t>
      </w:r>
      <w:r>
        <w:rPr>
          <w:rFonts w:ascii="Times New Roman" w:hAnsi="Times New Roman"/>
          <w:b w:val="false"/>
          <w:i/>
          <w:color w:val="000000"/>
          <w:sz w:val="22"/>
        </w:rPr>
        <w:t>Contractor/subcontractor determinations.</w:t>
      </w:r>
      <w:r>
        <w:rPr>
          <w:rFonts w:ascii="Times New Roman" w:hAnsi="Times New Roman"/>
          <w:b w:val="false"/>
          <w:i w:val="false"/>
          <w:color w:val="000000"/>
          <w:sz w:val="22"/>
        </w:rPr>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pPr>
        <w:pBdr>
          <w:top w:space="5"/>
          <w:left w:space="5"/>
          <w:bottom w:space="5"/>
          <w:right w:space="5"/>
        </w:pBdr>
        <w:spacing w:after="0"/>
        <w:ind w:left="945"/>
        <w:jc w:val="left"/>
      </w:pPr>
      <w:r>
        <w:rPr>
          <w:rFonts w:ascii="Times New Roman" w:hAnsi="Times New Roman"/>
          <w:b w:val="false"/>
          <w:i w:val="false"/>
          <w:color w:val="000000"/>
          <w:sz w:val="22"/>
        </w:rPr>
        <w:t xml:space="preserve">(viii) </w:t>
      </w:r>
      <w:r>
        <w:rPr>
          <w:rFonts w:ascii="Times New Roman" w:hAnsi="Times New Roman"/>
          <w:b w:val="false"/>
          <w:i/>
          <w:color w:val="000000"/>
          <w:sz w:val="22"/>
        </w:rPr>
        <w:t>Predominantly commercial facilities.</w:t>
      </w:r>
      <w:r>
        <w:rPr>
          <w:rFonts w:ascii="Times New Roman" w:hAnsi="Times New Roman"/>
          <w:b w:val="false"/>
          <w:i w:val="false"/>
          <w:color w:val="000000"/>
          <w:sz w:val="22"/>
        </w:rPr>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pPr>
        <w:pBdr>
          <w:top w:space="5"/>
          <w:left w:space="5"/>
          <w:bottom w:space="5"/>
          <w:right w:space="5"/>
        </w:pBdr>
        <w:spacing w:after="0"/>
        <w:ind w:left="585"/>
        <w:jc w:val="left"/>
      </w:pPr>
      <w:r>
        <w:rPr>
          <w:rFonts w:ascii="Times New Roman" w:hAnsi="Times New Roman"/>
          <w:b w:val="false"/>
          <w:i w:val="false"/>
          <w:color w:val="000000"/>
          <w:sz w:val="22"/>
        </w:rPr>
        <w:t>(4) Contracts must require that additions to catalogs are subject to a determination of commerciality.</w:t>
      </w:r>
    </w:p>
    <w:p>
      <w:pPr>
        <w:pBdr>
          <w:top w:space="5"/>
          <w:left w:space="5"/>
          <w:bottom w:space="5"/>
          <w:right w:space="5"/>
        </w:pBdr>
        <w:spacing w:after="0"/>
        <w:ind w:left="225"/>
        <w:jc w:val="left"/>
      </w:pPr>
      <w:r>
        <w:rPr>
          <w:rFonts w:ascii="Times New Roman" w:hAnsi="Times New Roman"/>
          <w:b w:val="false"/>
          <w:i w:val="false"/>
          <w:color w:val="000000"/>
          <w:sz w:val="22"/>
        </w:rPr>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pPr>
        <w:pStyle w:val="Normal"/>
        <w:pBdr>
          <w:top w:space="5"/>
          <w:left w:space="5"/>
          <w:bottom w:space="5"/>
          <w:right w:space="5"/>
        </w:pBdr>
        <w:spacing w:after="0"/>
        <w:ind w:left="225"/>
        <w:jc w:val="left"/>
      </w:pPr>
      <w:r>
        <w:rPr>
          <w:rFonts w:ascii="Times New Roman" w:hAnsi="Times New Roman"/>
          <w:color w:val="000000"/>
        </w:rPr>
        <w:t>(S-99)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and offer an alternate item, including a commercial item.)</w:t>
      </w:r>
    </w:p>
    <w:p>
      <w:pPr>
        <w:pBdr>
          <w:top w:space="5"/>
          <w:left w:space="5"/>
          <w:bottom w:space="5"/>
          <w:right w:space="5"/>
        </w:pBdr>
        <w:spacing w:after="0"/>
        <w:ind w:left="945"/>
        <w:jc w:val="left"/>
      </w:pPr>
      <w:r>
        <w:rPr>
          <w:rFonts w:ascii="Times New Roman" w:hAnsi="Times New Roman"/>
          <w:b w:val="false"/>
          <w:i w:val="false"/>
          <w:color w:val="000000"/>
          <w:sz w:val="22"/>
        </w:rPr>
        <w:t>(i) The solicitation was not issued in accordance with Part 12, because the agency had not identified any commercial items that could meet the Government’s need (see FAR 10.002(d)(2)); and</w:t>
      </w:r>
    </w:p>
    <w:p>
      <w:pPr>
        <w:pBdr>
          <w:top w:space="5"/>
          <w:left w:space="5"/>
          <w:bottom w:space="5"/>
          <w:right w:space="5"/>
        </w:pBdr>
        <w:spacing w:after="0"/>
        <w:ind w:left="945"/>
        <w:jc w:val="left"/>
      </w:pPr>
      <w:r>
        <w:rPr>
          <w:rFonts w:ascii="Times New Roman" w:hAnsi="Times New Roman"/>
          <w:b w:val="false"/>
          <w:i w:val="false"/>
          <w:color w:val="000000"/>
          <w:sz w:val="22"/>
        </w:rPr>
        <w:t>(ii) An item is offered that is determined by the agency to meet the definition of commercial item at FAR 2.101 and to be technically acceptable in time for award under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(f)(1) The HCA is delegated the authority to make the determination that items will be used to facilitate defense against or recovery from nuclear, biological, chemical, or radiological attack. This determination should be placed in the contract file.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