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**ID__DLAD_13_003__ID**</w:t>
      </w:r>
    </w:p>
    <w:p>
      <w:pPr>
        <w:pStyle w:val="Heading2"/>
        <w:spacing w:after="180"/>
        <w:ind w:left="120"/>
        <w:jc w:val="left"/>
      </w:pPr>
      <w:r>
        <w:rPr>
          <w:rFonts w:ascii="Times New Roman" w:hAnsi="Times New Roman"/>
          <w:color w:val="000000"/>
          <w:sz w:val="36"/>
        </w:rPr>
        <w:t>13.003</w:t>
      </w:r>
      <w:r>
        <w:rPr>
          <w:rFonts w:ascii="Times New Roman" w:hAnsi="Times New Roman"/>
          <w:color w:val="000000"/>
          <w:sz w:val="36"/>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8.270.dita#DLAD_18_270"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