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**ID__DLAD_1_601-90__ID**</w:t>
      </w:r>
    </w:p>
    <w:p>
      <w:pPr>
        <w:pStyle w:val="Heading3"/>
        <w:spacing w:after="199"/>
        <w:ind w:left="120"/>
        <w:jc w:val="left"/>
      </w:pPr>
      <w:r>
        <w:rPr>
          <w:rFonts w:ascii="Times New Roman" w:hAnsi="Times New Roman"/>
          <w:color w:val="000000"/>
          <w:sz w:val="31"/>
        </w:rPr>
        <w:t>1.601-90</w:t>
      </w:r>
      <w:r>
        <w:rPr>
          <w:rFonts w:ascii="Times New Roman" w:hAnsi="Times New Roman"/>
          <w:color w:val="000000"/>
          <w:sz w:val="31"/>
        </w:rPr>
        <w:t xml:space="preserve"> Critical acquisition responsibilities.</w:t>
      </w:r>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