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**ID__DLAD_13_390__ID**</w:t>
      </w:r>
    </w:p>
    <w:p>
      <w:pPr>
        <w:pStyle w:val="Heading3"/>
        <w:spacing w:after="199"/>
        <w:ind w:left="120"/>
        <w:jc w:val="left"/>
      </w:pPr>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