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**ID__DLAD_15_403-1__ID**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15.403-1</w:t>
      </w:r>
      <w:r>
        <w:rPr>
          <w:rFonts w:ascii="Times New Roman" w:hAnsi="Times New Roman"/>
          <w:i w:val="false"/>
          <w:color w:val="000000"/>
          <w:sz w:val="31"/>
        </w:rPr>
        <w:t xml:space="preserve"> Prohibition on obtaining certified cost or pricing data (10 U.S.C. 2306a and 41 U.S.C. chapter 35)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Standards for exceptions from certified cost or pricing data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Commercial items.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DLA Acquisition Contract and Pricing Compliance Division prepares the annual report for approval by the Senior Procurement Executive.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Waivers. HCAs submit exceptional case TINA waivers for procurements that exceed $100 million to the Contract and Pricing Compliance Division for SPE coordination.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DLA Acquisition Contract and Pricing Compliance Division prepares the annual report for approval by the Senior Procurement Executive.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contracting officer must initiate discussions with CCC to request confirmation of the price reasonableness determination when price analysis indicates a significantly different price from CCC. Provide price analysis results in request to CCC.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