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**ID__DLAD_15_405__ID**</w:t>
      </w:r>
    </w:p>
    <w:p>
      <w:pPr>
        <w:pStyle w:val="Heading3"/>
        <w:spacing w:after="199"/>
        <w:ind w:left="120"/>
        <w:jc w:val="left"/>
      </w:pPr>
      <w:r>
        <w:rPr>
          <w:rFonts w:ascii="Times New Roman" w:hAnsi="Times New Roman"/>
          <w:color w:val="000000"/>
          <w:sz w:val="31"/>
        </w:rPr>
        <w:t>15.405</w:t>
      </w:r>
      <w:r>
        <w:rPr>
          <w:rFonts w:ascii="Times New Roman" w:hAnsi="Times New Roman"/>
          <w:color w:val="000000"/>
          <w:sz w:val="31"/>
        </w:rPr>
        <w:t xml:space="preserve"> Price negotiation.</w:t>
      </w:r>
    </w:p>
    <w:p>
      <w:pPr>
        <w:pBdr>
          <w:top w:space="5"/>
          <w:left w:space="5"/>
          <w:bottom w:space="5"/>
          <w:right w:space="5"/>
        </w:pBdr>
        <w:spacing w:after="0"/>
        <w:ind w:left="225"/>
        <w:jc w:val="left"/>
      </w:pPr>
      <w:r>
        <w:rPr>
          <w:rFonts w:ascii="Times New Roman" w:hAnsi="Times New Roman"/>
          <w:b w:val="false"/>
          <w:i w:val="false"/>
          <w:color w:val="000000"/>
          <w:sz w:val="22"/>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(d)(S-90).When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The cognizant authority above the contracting officer shall document any actions they completed or directed others to take in response to the referral and include this documentation, if applicable, when they provide the approval to the contracting officer. The cognizant authority at a level above the contracting officer shall include a statement for the contract file that they have reviewed the circumstances and approve of the award by the contracting officer. 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the contracting officer shall append the memorandum to the SAAD.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3.106-3.dita#DLAD_13_106-3" Type="http://schemas.openxmlformats.org/officeDocument/2006/relationships/hyperlink" Id="rId4"/>
    <Relationship TargetMode="External" Target="13.106-3.dita#DLAD_13_106-3/p_P13_106_3_b"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