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**ID__DLAD_15_407-90__ID**</w:t>
      </w:r>
    </w:p>
    <w:p>
      <w:pPr>
        <w:pStyle w:val="Heading3"/>
        <w:spacing w:after="199"/>
        <w:ind w:left="120"/>
        <w:jc w:val="left"/>
      </w:pPr>
      <w:r>
        <w:rPr>
          <w:rFonts w:ascii="Times New Roman" w:hAnsi="Times New Roman"/>
          <w:color w:val="000000"/>
          <w:sz w:val="31"/>
        </w:rPr>
        <w:t>15.407-90</w:t>
      </w:r>
      <w:r>
        <w:rPr>
          <w:rFonts w:ascii="Times New Roman" w:hAnsi="Times New Roman"/>
          <w:color w:val="000000"/>
          <w:sz w:val="31"/>
        </w:rPr>
        <w:t xml:space="preserve"> Reverse Auction.</w:t>
      </w:r>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