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**ID__DLAD_15_606__ID**</w:t>
      </w:r>
    </w:p>
    <w:p>
      <w:pPr>
        <w:pStyle w:val="Heading3"/>
        <w:spacing w:after="199"/>
        <w:ind w:left="120"/>
        <w:jc w:val="left"/>
      </w:pPr>
      <w:r>
        <w:rPr>
          <w:rFonts w:ascii="Times New Roman" w:hAnsi="Times New Roman"/>
          <w:color w:val="000000"/>
          <w:sz w:val="31"/>
        </w:rPr>
        <w:t>15.606</w:t>
      </w:r>
      <w:r>
        <w:rPr>
          <w:rFonts w:ascii="Times New Roman" w:hAnsi="Times New Roman"/>
          <w:color w:val="000000"/>
          <w:sz w:val="31"/>
        </w:rPr>
        <w:t xml:space="preserve"> Agency procedures.</w:t>
      </w:r>
    </w:p>
    <w:p>
      <w:pPr>
        <w:pBdr>
          <w:top w:space="5"/>
          <w:left w:space="5"/>
          <w:bottom w:space="5"/>
          <w:right w:space="5"/>
        </w:pBdr>
        <w:spacing w:after="0"/>
        <w:ind w:left="225"/>
        <w:jc w:val="left"/>
      </w:pPr>
      <w:r>
        <w:rPr>
          <w:rFonts w:ascii="Times New Roman" w:hAnsi="Times New Roman"/>
          <w:b w:val="false"/>
          <w:i w:val="false"/>
          <w:color w:val="000000"/>
          <w:sz w:val="22"/>
        </w:rPr>
        <w:t>(a)(S-90)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pPr>
        <w:pBdr>
          <w:top w:space="5"/>
          <w:left w:space="5"/>
          <w:bottom w:space="5"/>
          <w:right w:space="5"/>
        </w:pBdr>
        <w:spacing w:after="0"/>
        <w:ind w:left="945"/>
        <w:jc w:val="left"/>
      </w:pPr>
      <w:r>
        <w:rPr>
          <w:rFonts w:ascii="Times New Roman" w:hAnsi="Times New Roman"/>
          <w:b w:val="false"/>
          <w:i w:val="false"/>
          <w:color w:val="000000"/>
          <w:sz w:val="22"/>
        </w:rPr>
        <w:t>(i) Coordinate and manage UPs;</w:t>
      </w:r>
    </w:p>
    <w:p>
      <w:pPr>
        <w:pBdr>
          <w:top w:space="5"/>
          <w:left w:space="5"/>
          <w:bottom w:space="5"/>
          <w:right w:space="5"/>
        </w:pBdr>
        <w:spacing w:after="0"/>
        <w:ind w:left="945"/>
        <w:jc w:val="left"/>
      </w:pPr>
      <w:r>
        <w:rPr>
          <w:rFonts w:ascii="Times New Roman" w:hAnsi="Times New Roman"/>
          <w:b w:val="false"/>
          <w:i w:val="false"/>
          <w:color w:val="000000"/>
          <w:sz w:val="22"/>
        </w:rPr>
        <w:t>(ii) Protect UPs from unauthorized disclosure (FAR 15.608 and 15.609); use cover sheet provided in FAR 15.609 for all stages of the Government’s handling of a UP;</w:t>
      </w:r>
    </w:p>
    <w:p>
      <w:pPr>
        <w:pBdr>
          <w:top w:space="5"/>
          <w:left w:space="5"/>
          <w:bottom w:space="5"/>
          <w:right w:space="5"/>
        </w:pBdr>
        <w:spacing w:after="0"/>
        <w:ind w:left="945"/>
        <w:jc w:val="left"/>
      </w:pPr>
      <w:r>
        <w:rPr>
          <w:rFonts w:ascii="Times New Roman" w:hAnsi="Times New Roman"/>
          <w:b w:val="false"/>
          <w:i w:val="false"/>
          <w:color w:val="000000"/>
          <w:sz w:val="22"/>
        </w:rPr>
        <w:t>(iii) Advise UP program manager when a UP needs wider consideration in DLA;</w:t>
      </w:r>
    </w:p>
    <w:p>
      <w:pPr>
        <w:pBdr>
          <w:top w:space="5"/>
          <w:left w:space="5"/>
          <w:bottom w:space="5"/>
          <w:right w:space="5"/>
        </w:pBdr>
        <w:spacing w:after="0"/>
        <w:ind w:left="945"/>
        <w:jc w:val="left"/>
      </w:pPr>
      <w:r>
        <w:rPr>
          <w:rFonts w:ascii="Times New Roman" w:hAnsi="Times New Roman"/>
          <w:b w:val="false"/>
          <w:i w:val="false"/>
          <w:color w:val="000000"/>
          <w:sz w:val="22"/>
        </w:rPr>
        <w:t>(iv) Preserve accurate and complete disposition record of all UP processed;</w:t>
      </w:r>
    </w:p>
    <w:p>
      <w:pPr>
        <w:pBdr>
          <w:top w:space="5"/>
          <w:left w:space="5"/>
          <w:bottom w:space="5"/>
          <w:right w:space="5"/>
        </w:pBdr>
        <w:spacing w:after="0"/>
        <w:ind w:left="945"/>
        <w:jc w:val="left"/>
      </w:pPr>
      <w:r>
        <w:rPr>
          <w:rFonts w:ascii="Times New Roman" w:hAnsi="Times New Roman"/>
          <w:b w:val="false"/>
          <w:i w:val="false"/>
          <w:color w:val="000000"/>
          <w:sz w:val="22"/>
        </w:rPr>
        <w:t>(v) Ensure all affected evaluation offices and personnel follow FAR 15.608 and 15.609;</w:t>
      </w:r>
    </w:p>
    <w:p>
      <w:pPr>
        <w:pBdr>
          <w:top w:space="5"/>
          <w:left w:space="5"/>
          <w:bottom w:space="5"/>
          <w:right w:space="5"/>
        </w:pBdr>
        <w:spacing w:after="0"/>
        <w:ind w:left="945"/>
        <w:jc w:val="left"/>
      </w:pPr>
      <w:r>
        <w:rPr>
          <w:rFonts w:ascii="Times New Roman" w:hAnsi="Times New Roman"/>
          <w:b w:val="false"/>
          <w:i w:val="false"/>
          <w:color w:val="000000"/>
          <w:sz w:val="22"/>
        </w:rPr>
        <w:t>(vi) Ensure evaluators provide supporting reason for conclusions and recommendations. When recommending the UP for acceptance, ensure evaluators specify available funds or programmed funds; and</w:t>
      </w:r>
    </w:p>
    <w:p>
      <w:pPr>
        <w:pBdr>
          <w:top w:space="5"/>
          <w:left w:space="5"/>
          <w:bottom w:space="5"/>
          <w:right w:space="5"/>
        </w:pBdr>
        <w:spacing w:after="0"/>
        <w:ind w:left="945"/>
        <w:jc w:val="left"/>
      </w:pPr>
      <w:r>
        <w:rPr>
          <w:rFonts w:ascii="Times New Roman" w:hAnsi="Times New Roman"/>
          <w:b w:val="false"/>
          <w:i w:val="false"/>
          <w:color w:val="000000"/>
          <w:sz w:val="22"/>
        </w:rPr>
        <w:t>(vii) Send to contractors expressing interest in sending a UP the information in FAR 15.604(a)(1) through (6).</w:t>
      </w:r>
    </w:p>
    <w:p>
      <w:pPr>
        <w:pBdr>
          <w:top w:space="5"/>
          <w:left w:space="5"/>
          <w:bottom w:space="5"/>
          <w:right w:space="5"/>
        </w:pBdr>
        <w:spacing w:after="0"/>
        <w:ind w:left="585"/>
        <w:jc w:val="left"/>
      </w:pPr>
      <w:r>
        <w:rPr>
          <w:rFonts w:ascii="Times New Roman" w:hAnsi="Times New Roman"/>
          <w:b w:val="false"/>
          <w:i w:val="false"/>
          <w:color w:val="000000"/>
          <w:sz w:val="22"/>
        </w:rPr>
        <w:t>(S-91) Detailed procedures.</w:t>
      </w:r>
    </w:p>
    <w:p>
      <w:pPr>
        <w:pBdr>
          <w:top w:space="5"/>
          <w:left w:space="5"/>
          <w:bottom w:space="5"/>
          <w:right w:space="5"/>
        </w:pBdr>
        <w:spacing w:after="0"/>
        <w:ind w:left="945"/>
        <w:jc w:val="left"/>
      </w:pPr>
      <w:r>
        <w:rPr>
          <w:rFonts w:ascii="Times New Roman" w:hAnsi="Times New Roman"/>
          <w:b w:val="false"/>
          <w:i w:val="false"/>
          <w:color w:val="000000"/>
          <w:sz w:val="22"/>
        </w:rPr>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review in 90 days from UP receipt.</w:t>
      </w:r>
    </w:p>
    <w:p>
      <w:pPr>
        <w:pBdr>
          <w:top w:space="5"/>
          <w:left w:space="5"/>
          <w:bottom w:space="5"/>
          <w:right w:space="5"/>
        </w:pBdr>
        <w:spacing w:after="0"/>
        <w:ind w:left="945"/>
        <w:jc w:val="left"/>
      </w:pPr>
      <w:r>
        <w:rPr>
          <w:rFonts w:ascii="Times New Roman" w:hAnsi="Times New Roman"/>
          <w:b w:val="false"/>
          <w:i w:val="false"/>
          <w:color w:val="000000"/>
          <w:sz w:val="22"/>
        </w:rPr>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 commitment by the government. The coordinator tells the DLA Acquisition Operations UP program manager they asked for added information.</w:t>
      </w:r>
    </w:p>
    <w:p>
      <w:pPr>
        <w:pBdr>
          <w:top w:space="5"/>
          <w:left w:space="5"/>
          <w:bottom w:space="5"/>
          <w:right w:space="5"/>
        </w:pBdr>
        <w:spacing w:after="0"/>
        <w:ind w:left="945"/>
        <w:jc w:val="left"/>
      </w:pPr>
      <w:r>
        <w:rPr>
          <w:rFonts w:ascii="Times New Roman" w:hAnsi="Times New Roman"/>
          <w:b w:val="false"/>
          <w:i w:val="false"/>
          <w:color w:val="000000"/>
          <w:sz w:val="22"/>
        </w:rPr>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pPr>
        <w:pBdr>
          <w:top w:space="5"/>
          <w:left w:space="5"/>
          <w:bottom w:space="5"/>
          <w:right w:space="5"/>
        </w:pBdr>
        <w:spacing w:after="0"/>
        <w:ind w:left="945"/>
        <w:jc w:val="left"/>
      </w:pPr>
      <w:r>
        <w:rPr>
          <w:rFonts w:ascii="Times New Roman" w:hAnsi="Times New Roman"/>
          <w:b w:val="false"/>
          <w:i w:val="false"/>
          <w:color w:val="000000"/>
          <w:sz w:val="22"/>
        </w:rPr>
        <w:t>(iv) On receiving a valid UP from the coordinator, the responsible contracting officer will decide the correct contract action, if any, following FAR 15.607(b) and coordinating with the correct requiring activity. If the contracting officer determines that the UP represents a valid requirement and the conditions for proceeding with a procurement are met, the contracting officer must provide for full and open competition or justify limiting sources, as applicable. The contracting officer notifies offeror in writing if negotiations in accordance with FAR 15.607(b) will commence.</w:t>
      </w:r>
    </w:p>
    <w:p>
      <w:pPr>
        <w:pBdr>
          <w:top w:space="5"/>
          <w:left w:space="5"/>
          <w:bottom w:space="5"/>
          <w:right w:space="5"/>
        </w:pBdr>
        <w:spacing w:after="0"/>
        <w:ind w:left="225"/>
        <w:jc w:val="left"/>
      </w:pPr>
      <w:r>
        <w:rPr>
          <w:rFonts w:ascii="Times New Roman" w:hAnsi="Times New Roman"/>
          <w:b w:val="false"/>
          <w:i w:val="false"/>
          <w:color w:val="000000"/>
          <w:sz w:val="22"/>
        </w:rPr>
        <w:t>(b) Organization coordinators responsible for UPs.</w:t>
      </w:r>
    </w:p>
    <w:p>
      <w:pPr>
        <w:pBdr>
          <w:top w:space="5"/>
          <w:left w:space="5"/>
          <w:bottom w:space="5"/>
          <w:right w:space="5"/>
        </w:pBdr>
        <w:spacing w:after="0"/>
        <w:ind w:left="585"/>
        <w:jc w:val="left"/>
      </w:pPr>
      <w:r>
        <w:rPr>
          <w:rFonts w:ascii="Times New Roman" w:hAnsi="Times New Roman"/>
          <w:b w:val="false"/>
          <w:i w:val="false"/>
          <w:color w:val="000000"/>
          <w:sz w:val="22"/>
        </w:rPr>
        <w:t>(S-90) DLA Land and Maritime – Competition Advocate (primary) and Procurement Process Directorate (alternate)</w:t>
      </w:r>
    </w:p>
    <w:p>
      <w:pPr>
        <w:pBdr>
          <w:top w:space="5"/>
          <w:left w:space="5"/>
          <w:bottom w:space="5"/>
          <w:right w:space="5"/>
        </w:pBdr>
        <w:spacing w:after="0"/>
        <w:ind w:left="585"/>
        <w:jc w:val="left"/>
      </w:pPr>
      <w:r>
        <w:rPr>
          <w:rFonts w:ascii="Times New Roman" w:hAnsi="Times New Roman"/>
          <w:b w:val="false"/>
          <w:i w:val="false"/>
          <w:color w:val="000000"/>
          <w:sz w:val="22"/>
        </w:rPr>
        <w:t>(S-91) DLA Troop Support – Pricing and Strategy Division Chief</w:t>
      </w:r>
    </w:p>
    <w:p>
      <w:pPr>
        <w:pBdr>
          <w:top w:space="5"/>
          <w:left w:space="5"/>
          <w:bottom w:space="5"/>
          <w:right w:space="5"/>
        </w:pBdr>
        <w:spacing w:after="0"/>
        <w:ind w:left="585"/>
        <w:jc w:val="left"/>
      </w:pPr>
      <w:r>
        <w:rPr>
          <w:rFonts w:ascii="Times New Roman" w:hAnsi="Times New Roman"/>
          <w:b w:val="false"/>
          <w:i w:val="false"/>
          <w:color w:val="000000"/>
          <w:sz w:val="22"/>
        </w:rPr>
        <w:t>(S-92) DLA Aviation – Pricing Division Chief</w:t>
      </w:r>
    </w:p>
    <w:p>
      <w:pPr>
        <w:pBdr>
          <w:top w:space="5"/>
          <w:left w:space="5"/>
          <w:bottom w:space="5"/>
          <w:right w:space="5"/>
        </w:pBdr>
        <w:spacing w:after="0"/>
        <w:ind w:left="585"/>
        <w:jc w:val="left"/>
      </w:pPr>
      <w:r>
        <w:rPr>
          <w:rFonts w:ascii="Times New Roman" w:hAnsi="Times New Roman"/>
          <w:b w:val="false"/>
          <w:i w:val="false"/>
          <w:color w:val="000000"/>
          <w:sz w:val="22"/>
        </w:rPr>
        <w:t>(S-93) DLA Energy – Acquisition Policy and Oversight Associate Director</w:t>
      </w:r>
    </w:p>
    <w:p>
      <w:pPr>
        <w:pBdr>
          <w:top w:space="5"/>
          <w:left w:space="5"/>
          <w:bottom w:space="5"/>
          <w:right w:space="5"/>
        </w:pBdr>
        <w:spacing w:after="0"/>
        <w:ind w:left="585"/>
        <w:jc w:val="left"/>
      </w:pPr>
      <w:r>
        <w:rPr>
          <w:rFonts w:ascii="Times New Roman" w:hAnsi="Times New Roman"/>
          <w:b w:val="false"/>
          <w:i w:val="false"/>
          <w:color w:val="000000"/>
          <w:sz w:val="22"/>
        </w:rPr>
        <w:t>(S-94) DLA Disposition Services – Acquisition Procedures Division Chief</w:t>
      </w:r>
    </w:p>
    <w:p>
      <w:pPr>
        <w:pBdr>
          <w:top w:space="5"/>
          <w:left w:space="5"/>
          <w:bottom w:space="5"/>
          <w:right w:space="5"/>
        </w:pBdr>
        <w:spacing w:after="0"/>
        <w:ind w:left="585"/>
        <w:jc w:val="left"/>
      </w:pPr>
      <w:r>
        <w:rPr>
          <w:rFonts w:ascii="Times New Roman" w:hAnsi="Times New Roman"/>
          <w:b w:val="false"/>
          <w:i w:val="false"/>
          <w:color w:val="000000"/>
          <w:sz w:val="22"/>
        </w:rPr>
        <w:t>(S-95) DLA Distribution – Acquisition Policy Chief</w:t>
      </w:r>
    </w:p>
    <w:p>
      <w:pPr>
        <w:pBdr>
          <w:top w:space="5"/>
          <w:left w:space="5"/>
          <w:bottom w:space="5"/>
          <w:right w:space="5"/>
        </w:pBdr>
        <w:spacing w:after="0"/>
        <w:ind w:left="585"/>
        <w:jc w:val="left"/>
      </w:pPr>
      <w:r>
        <w:rPr>
          <w:rFonts w:ascii="Times New Roman" w:hAnsi="Times New Roman"/>
          <w:b w:val="false"/>
          <w:i w:val="false"/>
          <w:color w:val="000000"/>
          <w:sz w:val="22"/>
        </w:rPr>
        <w:t>(S-96) DLA Strategic Materials – Contracting Director</w:t>
      </w:r>
    </w:p>
    <w:p>
      <w:pPr>
        <w:pBdr>
          <w:top w:space="5"/>
          <w:left w:space="5"/>
          <w:bottom w:space="5"/>
          <w:right w:space="5"/>
        </w:pBdr>
        <w:spacing w:after="0"/>
        <w:ind w:left="585"/>
        <w:jc w:val="left"/>
      </w:pPr>
      <w:r>
        <w:rPr>
          <w:rFonts w:ascii="Times New Roman" w:hAnsi="Times New Roman"/>
          <w:b w:val="false"/>
          <w:i w:val="false"/>
          <w:color w:val="000000"/>
          <w:sz w:val="22"/>
        </w:rPr>
        <w:t>(S-97) DLA Contracting Services Office – Contract &amp; Pricing Compliance Division Chief</w:t>
      </w:r>
    </w:p>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