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**ID__DLAD_16_191__ID**</w:t>
      </w:r>
    </w:p>
    <w:p>
      <w:pPr>
        <w:pStyle w:val="Heading3"/>
        <w:spacing w:after="199"/>
        <w:ind w:left="120"/>
        <w:jc w:val="left"/>
      </w:pPr>
      <w:r>
        <w:rPr>
          <w:rFonts w:ascii="Times New Roman" w:hAnsi="Times New Roman"/>
          <w:color w:val="000000"/>
          <w:sz w:val="31"/>
        </w:rPr>
        <w:t>16.191</w:t>
      </w:r>
      <w:r>
        <w:rPr>
          <w:rFonts w:ascii="Times New Roman" w:hAnsi="Times New Roman"/>
          <w:color w:val="000000"/>
          <w:sz w:val="31"/>
        </w:rPr>
        <w:t xml:space="preserve"> Bridge contracts.</w:t>
      </w:r>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pPr>
        <w:pBdr>
          <w:top w:space="5"/>
          <w:left w:space="5"/>
          <w:bottom w:space="5"/>
          <w:right w:space="5"/>
        </w:pBdr>
        <w:spacing w:after="0"/>
        <w:ind w:left="225"/>
        <w:jc w:val="left"/>
      </w:pPr>
      <w:r>
        <w:rPr>
          <w:rFonts w:ascii="Times New Roman" w:hAnsi="Times New Roman"/>
          <w:b w:val="false"/>
          <w:i w:val="false"/>
          <w:color w:val="000000"/>
          <w:sz w:val="22"/>
        </w:rPr>
        <w:t>(b)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contract may be appropriate when—</w:t>
      </w:r>
    </w:p>
    <w:p>
      <w:pPr>
        <w:pBdr>
          <w:top w:space="5"/>
          <w:left w:space="5"/>
          <w:bottom w:space="5"/>
          <w:right w:space="5"/>
        </w:pBdr>
        <w:spacing w:after="0"/>
        <w:ind w:left="585"/>
        <w:jc w:val="left"/>
      </w:pPr>
      <w:r>
        <w:rPr>
          <w:rFonts w:ascii="Times New Roman" w:hAnsi="Times New Roman"/>
          <w:b w:val="false"/>
          <w:i w:val="false"/>
          <w:color w:val="000000"/>
          <w:sz w:val="22"/>
        </w:rPr>
        <w:t>(1) The competitive follow-on contract or solicitation has been protested;</w:t>
      </w:r>
    </w:p>
    <w:p>
      <w:pPr>
        <w:pBdr>
          <w:top w:space="5"/>
          <w:left w:space="5"/>
          <w:bottom w:space="5"/>
          <w:right w:space="5"/>
        </w:pBdr>
        <w:spacing w:after="0"/>
        <w:ind w:left="585"/>
        <w:jc w:val="left"/>
      </w:pPr>
      <w:r>
        <w:rPr>
          <w:rFonts w:ascii="Times New Roman" w:hAnsi="Times New Roman"/>
          <w:b w:val="false"/>
          <w:i w:val="false"/>
          <w:color w:val="000000"/>
          <w:sz w:val="22"/>
        </w:rPr>
        <w:t>(2) The approved acquisition strategy requires a necessary change that the HCA endorses;</w:t>
      </w:r>
    </w:p>
    <w:p>
      <w:pPr>
        <w:pBdr>
          <w:top w:space="5"/>
          <w:left w:space="5"/>
          <w:bottom w:space="5"/>
          <w:right w:space="5"/>
        </w:pBdr>
        <w:spacing w:after="0"/>
        <w:ind w:left="585"/>
        <w:jc w:val="left"/>
      </w:pPr>
      <w:r>
        <w:rPr>
          <w:rFonts w:ascii="Times New Roman" w:hAnsi="Times New Roman"/>
          <w:b w:val="false"/>
          <w:i w:val="false"/>
          <w:color w:val="000000"/>
          <w:sz w:val="22"/>
        </w:rPr>
        <w:t>(3) A statutory or regulatory change necessitates a change prior to award; or</w:t>
      </w:r>
    </w:p>
    <w:p>
      <w:pPr>
        <w:pBdr>
          <w:top w:space="5"/>
          <w:left w:space="5"/>
          <w:bottom w:space="5"/>
          <w:right w:space="5"/>
        </w:pBdr>
        <w:spacing w:after="0"/>
        <w:ind w:left="585"/>
        <w:jc w:val="left"/>
      </w:pPr>
      <w:r>
        <w:rPr>
          <w:rFonts w:ascii="Times New Roman" w:hAnsi="Times New Roman"/>
          <w:b w:val="false"/>
          <w:i w:val="false"/>
          <w:color w:val="000000"/>
          <w:sz w:val="22"/>
        </w:rPr>
        <w:t>(4) Other circumstances that the contracting officer can demonstrate are not due to lack of advance planning or inadequate procurement execution result in delay of a solicitation or award.</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(1) Coordinate with the requiring activity to prepare the appropriate justifications for a non-competitive action to support solicitation and award of a bridge contract. Justifications include a formal justification and approval (FAR Part 6 or Subpart 13.5), limited sources justification (FAR Subpart 8.4), and exception to fair opportunity (FAR Subpart 16.5). The clearance levels are based on the type of justification and the total estimated value of the bridge contract action. Include the following in the justification:</w:t>
      </w:r>
    </w:p>
    <w:p>
      <w:pPr>
        <w:pBdr>
          <w:top w:space="5"/>
          <w:left w:space="5"/>
          <w:bottom w:space="5"/>
          <w:right w:space="5"/>
        </w:pBdr>
        <w:spacing w:after="0"/>
        <w:ind w:left="945"/>
        <w:jc w:val="left"/>
      </w:pPr>
      <w:r>
        <w:rPr>
          <w:rFonts w:ascii="Times New Roman" w:hAnsi="Times New Roman"/>
          <w:b w:val="false"/>
          <w:i w:val="false"/>
          <w:color w:val="000000"/>
          <w:sz w:val="22"/>
        </w:rPr>
        <w:t>(i) A clear statement that the action is a bridge contract in accordance with the definition at 2.101:</w:t>
      </w:r>
    </w:p>
    <w:p>
      <w:pPr>
        <w:pBdr>
          <w:top w:space="5"/>
          <w:left w:space="5"/>
          <w:bottom w:space="5"/>
          <w:right w:space="5"/>
        </w:pBdr>
        <w:spacing w:after="0"/>
        <w:ind w:left="945"/>
        <w:jc w:val="left"/>
      </w:pPr>
      <w:r>
        <w:rPr>
          <w:rFonts w:ascii="Times New Roman" w:hAnsi="Times New Roman"/>
          <w:b w:val="false"/>
          <w:i w:val="false"/>
          <w:color w:val="000000"/>
          <w:sz w:val="22"/>
        </w:rPr>
        <w:t>(ii) A detailed rationale for use of a bridge contract, including documentation that demonstrates the need for a bridge contract is not due to lack of advance planning or inadequate procurement execution;</w:t>
      </w:r>
    </w:p>
    <w:p>
      <w:pPr>
        <w:pBdr>
          <w:top w:space="5"/>
          <w:left w:space="5"/>
          <w:bottom w:space="5"/>
          <w:right w:space="5"/>
        </w:pBdr>
        <w:spacing w:after="0"/>
        <w:ind w:left="945"/>
        <w:jc w:val="left"/>
      </w:pPr>
      <w:r>
        <w:rPr>
          <w:rFonts w:ascii="Times New Roman" w:hAnsi="Times New Roman"/>
          <w:b w:val="false"/>
          <w:i w:val="false"/>
          <w:color w:val="000000"/>
          <w:sz w:val="22"/>
        </w:rPr>
        <w:t>(iii) A justification for the length of the bridge contract; and</w:t>
      </w:r>
    </w:p>
    <w:p>
      <w:pPr>
        <w:pBdr>
          <w:top w:space="5"/>
          <w:left w:space="5"/>
          <w:bottom w:space="5"/>
          <w:right w:space="5"/>
        </w:pBdr>
        <w:spacing w:after="0"/>
        <w:ind w:left="945"/>
        <w:jc w:val="left"/>
      </w:pPr>
      <w:r>
        <w:rPr>
          <w:rFonts w:ascii="Times New Roman" w:hAnsi="Times New Roman"/>
          <w:b w:val="false"/>
          <w:i w:val="false"/>
          <w:color w:val="000000"/>
          <w:sz w:val="22"/>
        </w:rPr>
        <w:t>(iv) A discussion of actions to be taken to avoid this bridge request and additional bridge contracts.</w:t>
      </w:r>
    </w:p>
    <w:p>
      <w:pPr>
        <w:pBdr>
          <w:top w:space="5"/>
          <w:left w:space="5"/>
          <w:bottom w:space="5"/>
          <w:right w:space="5"/>
        </w:pBdr>
        <w:spacing w:after="0"/>
        <w:ind w:left="585"/>
        <w:jc w:val="left"/>
      </w:pPr>
      <w:r>
        <w:rPr>
          <w:rFonts w:ascii="Times New Roman" w:hAnsi="Times New Roman"/>
          <w:b w:val="false"/>
          <w:i w:val="false"/>
          <w:color w:val="000000"/>
          <w:sz w:val="22"/>
        </w:rPr>
        <w:t>(2) 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 all bridge contract approvals:</w:t>
      </w:r>
    </w:p>
    <w:p>
      <w:pPr>
        <w:pBdr>
          <w:top w:space="5"/>
          <w:left w:space="5"/>
          <w:bottom w:space="5"/>
          <w:right w:space="5"/>
        </w:pBdr>
        <w:spacing w:after="0"/>
        <w:ind w:left="945"/>
        <w:jc w:val="left"/>
      </w:pPr>
      <w:r>
        <w:rPr>
          <w:rFonts w:ascii="Times New Roman" w:hAnsi="Times New Roman"/>
          <w:b w:val="false"/>
          <w:i w:val="false"/>
          <w:color w:val="000000"/>
          <w:sz w:val="22"/>
        </w:rPr>
        <w:t>(i) Supporting documentation in accordance with FAR 4.801(b);</w:t>
      </w:r>
    </w:p>
    <w:p>
      <w:pPr>
        <w:pBdr>
          <w:top w:space="5"/>
          <w:left w:space="5"/>
          <w:bottom w:space="5"/>
          <w:right w:space="5"/>
        </w:pBdr>
        <w:spacing w:after="0"/>
        <w:ind w:left="945"/>
        <w:jc w:val="left"/>
      </w:pPr>
      <w:r>
        <w:rPr>
          <w:rFonts w:ascii="Times New Roman" w:hAnsi="Times New Roman"/>
          <w:b w:val="false"/>
          <w:i w:val="false"/>
          <w:color w:val="000000"/>
          <w:sz w:val="22"/>
        </w:rPr>
        <w:t>(ii) Signatures meeting the FAR 2.101 definition; and</w:t>
      </w:r>
    </w:p>
    <w:p>
      <w:pPr>
        <w:pBdr>
          <w:top w:space="5"/>
          <w:left w:space="5"/>
          <w:bottom w:space="5"/>
          <w:right w:space="5"/>
        </w:pBdr>
        <w:spacing w:after="0"/>
        <w:ind w:left="945"/>
        <w:jc w:val="left"/>
      </w:pPr>
      <w:r>
        <w:rPr>
          <w:rFonts w:ascii="Times New Roman" w:hAnsi="Times New Roman"/>
          <w:b w:val="false"/>
          <w:i w:val="false"/>
          <w:color w:val="000000"/>
          <w:sz w:val="22"/>
        </w:rPr>
        <w:t>(iii) The justification in accordance with 16.191(c)(1), unless FAR 6.302-2 or other provision of FAR Subpart 6.3 not requiring preparation of a J&amp;A prior to commencing negotiations applies.</w:t>
      </w:r>
    </w:p>
    <w:p>
      <w:pPr>
        <w:pBdr>
          <w:top w:space="5"/>
          <w:left w:space="5"/>
          <w:bottom w:space="5"/>
          <w:right w:space="5"/>
        </w:pBdr>
        <w:spacing w:after="0"/>
        <w:ind w:left="585"/>
        <w:jc w:val="left"/>
      </w:pPr>
      <w:r>
        <w:rPr>
          <w:rFonts w:ascii="Times New Roman" w:hAnsi="Times New Roman"/>
          <w:b w:val="false"/>
          <w:i w:val="false"/>
          <w:color w:val="000000"/>
          <w:sz w:val="22"/>
        </w:rPr>
        <w:t>(3) Subparagraphs (i)-(iii) identify the authorities for recommendation and approval of bridge contracts. The recommending and approval authorities shall not be the same person.</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recommends and the HCA approves initial bridge contracts. The HCA may delegate approval authority to the CCO for actions up to $1M.</w:t>
      </w:r>
    </w:p>
    <w:p>
      <w:pPr>
        <w:pBdr>
          <w:top w:space="5"/>
          <w:left w:space="5"/>
          <w:bottom w:space="5"/>
          <w:right w:space="5"/>
        </w:pBdr>
        <w:spacing w:after="0"/>
        <w:ind w:left="945"/>
        <w:jc w:val="left"/>
      </w:pPr>
      <w:r>
        <w:rPr>
          <w:rFonts w:ascii="Times New Roman" w:hAnsi="Times New Roman"/>
          <w:b w:val="false"/>
          <w:i w:val="false"/>
          <w:color w:val="000000"/>
          <w:sz w:val="22"/>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pPr>
        <w:pBdr>
          <w:top w:space="5"/>
          <w:left w:space="5"/>
          <w:bottom w:space="5"/>
          <w:right w:space="5"/>
        </w:pBdr>
        <w:spacing w:after="0"/>
        <w:ind w:left="945"/>
        <w:jc w:val="left"/>
      </w:pPr>
      <w:r>
        <w:rPr>
          <w:rFonts w:ascii="Times New Roman" w:hAnsi="Times New Roman"/>
          <w:b w:val="false"/>
          <w:i w:val="false"/>
          <w:color w:val="000000"/>
          <w:sz w:val="22"/>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pPr>
        <w:pBdr>
          <w:top w:space="5"/>
          <w:left w:space="5"/>
          <w:bottom w:space="5"/>
          <w:right w:space="5"/>
        </w:pBdr>
        <w:spacing w:after="0"/>
        <w:ind w:left="225"/>
        <w:jc w:val="left"/>
      </w:pPr>
      <w:r>
        <w:rPr>
          <w:rFonts w:ascii="Times New Roman" w:hAnsi="Times New Roman"/>
          <w:b w:val="false"/>
          <w:i w:val="false"/>
          <w:color w:val="000000"/>
          <w:sz w:val="22"/>
        </w:rPr>
        <w:t>(d) Approval to award a bridge contract does not relieve the contracting officer from any other regulatory requirements that the contracting officer must fulfill before making an award. For 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pPr>
        <w:pStyle w:val="Normal"/>
        <w:pBdr>
          <w:top w:space="5"/>
          <w:left w:space="5"/>
          <w:bottom w:space="5"/>
          <w:right w:space="5"/>
        </w:pBdr>
        <w:spacing w:after="0"/>
        <w:ind w:left="225"/>
        <w:jc w:val="left"/>
      </w:pPr>
      <w:r>
        <w:rPr>
          <w:rFonts w:ascii="Times New Roman" w:hAnsi="Times New Roman"/>
          <w:color w:val="000000"/>
        </w:rPr>
        <w:t>incorporate terms and conditions from an existing contract into the new bridge contract by reference.</w:t>
      </w:r>
    </w:p>
    <w:p>
      <w:pPr>
        <w:pBdr>
          <w:top w:space="5"/>
          <w:left w:space="5"/>
          <w:bottom w:space="5"/>
          <w:right w:space="5"/>
        </w:pBdr>
        <w:spacing w:after="0"/>
        <w:ind w:left="225"/>
        <w:jc w:val="left"/>
      </w:pPr>
      <w:r>
        <w:rPr>
          <w:rFonts w:ascii="Times New Roman" w:hAnsi="Times New Roman"/>
          <w:b w:val="false"/>
          <w:i w:val="false"/>
          <w:color w:val="000000"/>
          <w:sz w:val="22"/>
        </w:rPr>
        <w:t>(e) Bridge contracts are independent acquisitions; therefore, contracting officers shall issue a separate contract when awarding a bridge. Contracting officers shall not award bridge contracts by modifying an existing contract.</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shall complete recording requirements in accordance with DFARS PGI 204.606, Reporting Data, and ensure appropriate coding of sole source awards.</w:t>
      </w:r>
    </w:p>
    <w:p>
      <w:pPr>
        <w:pBdr>
          <w:top w:space="5"/>
          <w:left w:space="5"/>
          <w:bottom w:space="5"/>
          <w:right w:space="5"/>
        </w:pBdr>
        <w:spacing w:after="0"/>
        <w:ind w:left="225"/>
        <w:jc w:val="left"/>
      </w:pPr>
      <w:r>
        <w:rPr>
          <w:rFonts w:ascii="Times New Roman" w:hAnsi="Times New Roman"/>
          <w:b w:val="false"/>
          <w:i w:val="false"/>
          <w:color w:val="000000"/>
          <w:sz w:val="22"/>
        </w:rPr>
        <w:t>(g) The contracting officer shall include the request, the approval, and all supporting documentation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(h) Reporting. Procuring organizations shall provide—</w:t>
      </w:r>
    </w:p>
    <w:p>
      <w:pPr>
        <w:pBdr>
          <w:top w:space="5"/>
          <w:left w:space="5"/>
          <w:bottom w:space="5"/>
          <w:right w:space="5"/>
        </w:pBdr>
        <w:spacing w:after="0"/>
        <w:ind w:left="585"/>
        <w:jc w:val="left"/>
      </w:pPr>
      <w:r>
        <w:rPr>
          <w:rFonts w:ascii="Times New Roman" w:hAnsi="Times New Roman"/>
          <w:b w:val="false"/>
          <w:i w:val="false"/>
          <w:color w:val="000000"/>
          <w:sz w:val="22"/>
        </w:rPr>
        <w:t>(1) A copy of the approval and relevant supporting documentation (e.g., J&amp;A, and acquisition plan) to the DLA Acquisition Operations Division within thirty (30) days after awarding a bridge contract; and</w:t>
      </w:r>
    </w:p>
    <w:p>
      <w:pPr>
        <w:pBdr>
          <w:top w:space="5"/>
          <w:left w:space="5"/>
          <w:bottom w:space="5"/>
          <w:right w:space="5"/>
        </w:pBdr>
        <w:spacing w:after="0"/>
        <w:ind w:left="585"/>
        <w:jc w:val="left"/>
      </w:pPr>
      <w:r>
        <w:rPr>
          <w:rFonts w:ascii="Times New Roman" w:hAnsi="Times New Roman"/>
          <w:b w:val="false"/>
          <w:i w:val="false"/>
          <w:color w:val="000000"/>
          <w:sz w:val="22"/>
        </w:rPr>
        <w:t>(2) The DLA Acquisition Bridge Contracts Report to the DLA Acquisition Operations Division by the 10th of each month and include the status of all bridge contracts with a period of performance that has not expired.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