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**ID__DLAD_16_505__ID**</w:t>
      </w:r>
    </w:p>
    <w:p>
      <w:pPr>
        <w:pStyle w:val="Heading3"/>
        <w:spacing w:after="199"/>
        <w:ind w:left="120"/>
        <w:jc w:val="left"/>
      </w:pPr>
      <w:r>
        <w:rPr>
          <w:rFonts w:ascii="Times New Roman" w:hAnsi="Times New Roman"/>
          <w:color w:val="000000"/>
          <w:sz w:val="31"/>
        </w:rPr>
        <w:t>16.505</w:t>
      </w:r>
      <w:r>
        <w:rPr>
          <w:rFonts w:ascii="Times New Roman" w:hAnsi="Times New Roman"/>
          <w:color w:val="000000"/>
          <w:sz w:val="31"/>
        </w:rPr>
        <w:t xml:space="preserve"> Ordering.</w:t>
      </w:r>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Id4">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far/16.ht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