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**ID__DLAD_17_206__ID**</w:t>
      </w:r>
    </w:p>
    <w:p>
      <w:pPr>
        <w:pStyle w:val="Heading3"/>
        <w:spacing w:after="199"/>
        <w:ind w:left="120"/>
        <w:jc w:val="left"/>
      </w:pPr>
      <w:r>
        <w:rPr>
          <w:rFonts w:ascii="Times New Roman" w:hAnsi="Times New Roman"/>
          <w:color w:val="000000"/>
          <w:sz w:val="31"/>
        </w:rPr>
        <w:t>17.206</w:t>
      </w:r>
      <w:r>
        <w:rPr>
          <w:rFonts w:ascii="Times New Roman" w:hAnsi="Times New Roman"/>
          <w:color w:val="000000"/>
          <w:sz w:val="31"/>
        </w:rPr>
        <w:t xml:space="preserve"> Evaluation.</w:t>
      </w:r>
    </w:p>
    <w:p>
      <w:pPr>
        <w:pBdr>
          <w:top w:space="5"/>
          <w:left w:space="5"/>
          <w:bottom w:space="5"/>
          <w:right w:space="5"/>
        </w:pBdr>
        <w:spacing w:after="0"/>
        <w:ind w:left="225"/>
        <w:jc w:val="left"/>
      </w:pPr>
      <w:r>
        <w:rPr>
          <w:rFonts w:ascii="Times New Roman" w:hAnsi="Times New Roman"/>
          <w:b w:val="false"/>
          <w:i w:val="false"/>
          <w:color w:val="000000"/>
          <w:sz w:val="22"/>
        </w:rPr>
        <w:t>(b) The determination not to evaluate an option prior to contract award (or definitization, if an undefinitized contract) must be in the contract file. Unevaluated options must not be used except in unusual circumstances.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