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**ID__DLAD_17_590__ID**</w:t>
      </w:r>
    </w:p>
    <w:p>
      <w:pPr>
        <w:pStyle w:val="Heading3"/>
        <w:spacing w:after="199"/>
        <w:ind w:left="120"/>
        <w:jc w:val="left"/>
      </w:pPr>
      <w:r>
        <w:rPr>
          <w:rFonts w:ascii="Times New Roman" w:hAnsi="Times New Roman"/>
          <w:color w:val="000000"/>
          <w:sz w:val="31"/>
        </w:rPr>
        <w:t>17.590</w:t>
      </w:r>
      <w:r>
        <w:rPr>
          <w:rFonts w:ascii="Times New Roman" w:hAnsi="Times New Roman"/>
          <w:color w:val="000000"/>
          <w:sz w:val="31"/>
        </w:rPr>
        <w:t xml:space="preserve"> Follow–up procedures for non–Economy Act transactions.</w:t>
      </w:r>
    </w:p>
    <w:p>
      <w:pPr>
        <w:pBdr>
          <w:top w:space="5"/>
          <w:left w:space="5"/>
          <w:bottom w:space="5"/>
          <w:right w:space="5"/>
        </w:pBdr>
        <w:spacing w:after="0"/>
        <w:ind w:left="225"/>
        <w:jc w:val="left"/>
      </w:pPr>
      <w:r>
        <w:rPr>
          <w:rFonts w:ascii="Times New Roman" w:hAnsi="Times New Roman"/>
          <w:b w:val="false"/>
          <w:i w:val="false"/>
          <w:color w:val="000000"/>
          <w:sz w:val="22"/>
        </w:rPr>
        <w:t>(a) The DLA contracting officer must ensure, in both assisted and direct acquisitions</w:t>
      </w:r>
      <w:r>
        <w:rPr>
          <w:rFonts w:ascii="Times New Roman" w:hAnsi="Times New Roman"/>
          <w:b/>
          <w:i w:val="false"/>
          <w:color w:val="000000"/>
          <w:sz w:val="22"/>
        </w:rPr>
        <w:t>,</w:t>
      </w:r>
      <w:r>
        <w:rPr>
          <w:rFonts w:ascii="Times New Roman" w:hAnsi="Times New Roman"/>
          <w:b w:val="false"/>
          <w:i w:val="false"/>
          <w:color w:val="000000"/>
          <w:sz w:val="22"/>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pPr>
        <w:pBdr>
          <w:top w:space="5"/>
          <w:left w:space="5"/>
          <w:bottom w:space="5"/>
          <w:right w:space="5"/>
        </w:pBdr>
        <w:spacing w:after="0"/>
        <w:ind w:left="585"/>
        <w:jc w:val="left"/>
      </w:pPr>
      <w:r>
        <w:rPr>
          <w:rFonts w:ascii="Times New Roman" w:hAnsi="Times New Roman"/>
          <w:b w:val="false"/>
          <w:i w:val="false"/>
          <w:color w:val="000000"/>
          <w:sz w:val="22"/>
        </w:rPr>
        <w:t>(1) Contract administration oversight in accordance with the surveillance plan;</w:t>
      </w:r>
    </w:p>
    <w:p>
      <w:pPr>
        <w:pBdr>
          <w:top w:space="5"/>
          <w:left w:space="5"/>
          <w:bottom w:space="5"/>
          <w:right w:space="5"/>
        </w:pBdr>
        <w:spacing w:after="0"/>
        <w:ind w:left="585"/>
        <w:jc w:val="left"/>
      </w:pPr>
      <w:r>
        <w:rPr>
          <w:rFonts w:ascii="Times New Roman" w:hAnsi="Times New Roman"/>
          <w:b w:val="false"/>
          <w:i w:val="false"/>
          <w:color w:val="000000"/>
          <w:sz w:val="22"/>
        </w:rPr>
        <w:t>(2) A process for receipt and review of receiving reports and invoices from the performing agency/contractor;</w:t>
      </w:r>
    </w:p>
    <w:p>
      <w:pPr>
        <w:pBdr>
          <w:top w:space="5"/>
          <w:left w:space="5"/>
          <w:bottom w:space="5"/>
          <w:right w:space="5"/>
        </w:pBdr>
        <w:spacing w:after="0"/>
        <w:ind w:left="585"/>
        <w:jc w:val="left"/>
      </w:pPr>
      <w:r>
        <w:rPr>
          <w:rFonts w:ascii="Times New Roman" w:hAnsi="Times New Roman"/>
          <w:b w:val="false"/>
          <w:i w:val="false"/>
          <w:color w:val="000000"/>
          <w:sz w:val="22"/>
        </w:rPr>
        <w:t>(3) Reconciliation of receiving reports and invoices; and</w:t>
      </w:r>
    </w:p>
    <w:p>
      <w:pPr>
        <w:pBdr>
          <w:top w:space="5"/>
          <w:left w:space="5"/>
          <w:bottom w:space="5"/>
          <w:right w:space="5"/>
        </w:pBdr>
        <w:spacing w:after="0"/>
        <w:ind w:left="585"/>
        <w:jc w:val="left"/>
      </w:pPr>
      <w:r>
        <w:rPr>
          <w:rFonts w:ascii="Times New Roman" w:hAnsi="Times New Roman"/>
          <w:b w:val="false"/>
          <w:i w:val="false"/>
          <w:color w:val="000000"/>
          <w:sz w:val="22"/>
        </w:rPr>
        <w:t>(4) Requirements for documenting acceptance of the goods received or services performed.</w:t>
      </w:r>
    </w:p>
    <w:p>
      <w:pPr>
        <w:pBdr>
          <w:top w:space="5"/>
          <w:left w:space="5"/>
          <w:bottom w:space="5"/>
          <w:right w:space="5"/>
        </w:pBdr>
        <w:spacing w:after="0"/>
        <w:ind w:left="225"/>
        <w:jc w:val="left"/>
      </w:pPr>
      <w:r>
        <w:rPr>
          <w:rFonts w:ascii="Times New Roman" w:hAnsi="Times New Roman"/>
          <w:b w:val="false"/>
          <w:i w:val="false"/>
          <w:color w:val="000000"/>
          <w:sz w:val="22"/>
        </w:rPr>
        <w:t>(b) The requesting official (i.e. the customer or program manager, with the assistance of the DLA contracting officer or post-award contracting official, as appropriate) must—</w:t>
      </w:r>
    </w:p>
    <w:p>
      <w:pPr>
        <w:pBdr>
          <w:top w:space="5"/>
          <w:left w:space="5"/>
          <w:bottom w:space="5"/>
          <w:right w:space="5"/>
        </w:pBdr>
        <w:spacing w:after="0"/>
        <w:ind w:left="585"/>
        <w:jc w:val="left"/>
      </w:pPr>
      <w:r>
        <w:rPr>
          <w:rFonts w:ascii="Times New Roman" w:hAnsi="Times New Roman"/>
          <w:b w:val="false"/>
          <w:i w:val="false"/>
          <w:color w:val="000000"/>
          <w:sz w:val="22"/>
        </w:rPr>
        <w:t>(1) Monitor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(2) Conduct tri-annual reviews of non-Economy Act orders in accordance with the Financial Management Regulation, Volume 3, Chapter 8, Section 0804, “Tri-Annual Review of Commitments and Obligations,” in conjunction with the Financial Management/J8 organization;</w:t>
      </w:r>
    </w:p>
    <w:p>
      <w:pPr>
        <w:pBdr>
          <w:top w:space="5"/>
          <w:left w:space="5"/>
          <w:bottom w:space="5"/>
          <w:right w:space="5"/>
        </w:pBdr>
        <w:spacing w:after="0"/>
        <w:ind w:left="585"/>
        <w:jc w:val="left"/>
      </w:pPr>
      <w:r>
        <w:rPr>
          <w:rFonts w:ascii="Times New Roman" w:hAnsi="Times New Roman"/>
          <w:b w:val="false"/>
          <w:i w:val="false"/>
          <w:color w:val="000000"/>
          <w:sz w:val="22"/>
        </w:rPr>
        <w:t>(3) Confirm open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(4) Coordinate the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(5) Coordinate with the accounting office to ensure timely deobligation of funds.</w:t>
      </w:r>
    </w:p>
    <w:p>
      <w:pPr>
        <w:pBdr>
          <w:top w:space="5"/>
          <w:left w:space="5"/>
          <w:bottom w:space="5"/>
          <w:right w:space="5"/>
        </w:pBdr>
        <w:spacing w:after="0"/>
        <w:ind w:left="225"/>
        <w:jc w:val="left"/>
      </w:pPr>
      <w:r>
        <w:rPr>
          <w:rFonts w:ascii="Times New Roman" w:hAnsi="Times New Roman"/>
          <w:b w:val="false"/>
          <w:i w:val="false"/>
          <w:color w:val="000000"/>
          <w:sz w:val="22"/>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pPr>
        <w:pBdr>
          <w:top w:space="5"/>
          <w:left w:space="5"/>
          <w:bottom w:space="5"/>
          <w:right w:space="5"/>
        </w:pBdr>
        <w:spacing w:after="0"/>
        <w:ind w:left="585"/>
        <w:jc w:val="left"/>
      </w:pPr>
      <w:r>
        <w:rPr>
          <w:rFonts w:ascii="Times New Roman" w:hAnsi="Times New Roman"/>
          <w:b w:val="false"/>
          <w:i w:val="false"/>
          <w:color w:val="000000"/>
          <w:sz w:val="22"/>
        </w:rPr>
        <w:t>(2) Payments made for services rendered or supplies furnished may be credited to the appropriation or fund of the agency performing the reimbursable work.</w:t>
      </w:r>
    </w:p>
    <w:p>
      <w:pPr>
        <w:pBdr>
          <w:top w:space="5"/>
          <w:left w:space="5"/>
          <w:bottom w:space="5"/>
          <w:right w:space="5"/>
        </w:pBdr>
        <w:spacing w:after="0"/>
        <w:ind w:left="225"/>
        <w:jc w:val="left"/>
      </w:pPr>
      <w:r>
        <w:rPr>
          <w:rFonts w:ascii="Times New Roman" w:hAnsi="Times New Roman"/>
          <w:b w:val="false"/>
          <w:i w:val="false"/>
          <w:color w:val="000000"/>
          <w:sz w:val="22"/>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pPr>
        <w:pBdr>
          <w:top w:space="5"/>
          <w:left w:space="5"/>
          <w:bottom w:space="5"/>
          <w:right w:space="5"/>
        </w:pBdr>
        <w:spacing w:after="0"/>
        <w:ind w:left="585"/>
        <w:jc w:val="left"/>
      </w:pPr>
      <w:r>
        <w:rPr>
          <w:rFonts w:ascii="Times New Roman" w:hAnsi="Times New Roman"/>
          <w:b w:val="false"/>
          <w:i w:val="false"/>
          <w:color w:val="000000"/>
          <w:sz w:val="22"/>
        </w:rPr>
        <w:t>(1) Determination and identification, if applicable, of any outstanding invoices;</w:t>
      </w:r>
    </w:p>
    <w:p>
      <w:pPr>
        <w:pBdr>
          <w:top w:space="5"/>
          <w:left w:space="5"/>
          <w:bottom w:space="5"/>
          <w:right w:space="5"/>
        </w:pBdr>
        <w:spacing w:after="0"/>
        <w:ind w:left="585"/>
        <w:jc w:val="left"/>
      </w:pPr>
      <w:r>
        <w:rPr>
          <w:rFonts w:ascii="Times New Roman" w:hAnsi="Times New Roman"/>
          <w:b w:val="false"/>
          <w:i w:val="false"/>
          <w:color w:val="000000"/>
          <w:sz w:val="22"/>
        </w:rPr>
        <w:t>(2) Determination and identification of existence of excess or expired funds;</w:t>
      </w:r>
    </w:p>
    <w:p>
      <w:pPr>
        <w:pBdr>
          <w:top w:space="5"/>
          <w:left w:space="5"/>
          <w:bottom w:space="5"/>
          <w:right w:space="5"/>
        </w:pBdr>
        <w:spacing w:after="0"/>
        <w:ind w:left="585"/>
        <w:jc w:val="left"/>
      </w:pPr>
      <w:r>
        <w:rPr>
          <w:rFonts w:ascii="Times New Roman" w:hAnsi="Times New Roman"/>
          <w:b w:val="false"/>
          <w:i w:val="false"/>
          <w:color w:val="000000"/>
          <w:sz w:val="22"/>
        </w:rPr>
        <w:t>(3) Coordination of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(4) Coordination with the accounting office to ensure the deobligation of funds.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