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**ID__DLAD_17_7405__ID**</w:t>
      </w:r>
    </w:p>
    <w:p>
      <w:pPr>
        <w:pStyle w:val="Heading3"/>
        <w:spacing w:after="199"/>
        <w:ind w:left="120"/>
        <w:jc w:val="left"/>
      </w:pPr>
      <w:r>
        <w:rPr>
          <w:rFonts w:ascii="Times New Roman" w:hAnsi="Times New Roman"/>
          <w:color w:val="000000"/>
          <w:sz w:val="31"/>
        </w:rPr>
        <w:t>17.7405</w:t>
      </w:r>
      <w:r>
        <w:rPr>
          <w:rFonts w:ascii="Times New Roman" w:hAnsi="Times New Roman"/>
          <w:color w:val="000000"/>
          <w:sz w:val="31"/>
        </w:rPr>
        <w:t xml:space="preserve"> Plans and reports.</w:t>
      </w:r>
    </w:p>
    <w:p>
      <w:pPr>
        <w:pBdr>
          <w:top w:space="5"/>
          <w:left w:space="5"/>
          <w:bottom w:space="5"/>
          <w:right w:space="5"/>
        </w:pBdr>
        <w:spacing w:after="0"/>
        <w:ind w:left="225"/>
        <w:jc w:val="left"/>
      </w:pPr>
      <w:r>
        <w:rPr>
          <w:rFonts w:ascii="Times New Roman" w:hAnsi="Times New Roman"/>
          <w:b w:val="false"/>
          <w:i w:val="false"/>
          <w:color w:val="000000"/>
          <w:sz w:val="22"/>
        </w:rPr>
        <w:t>(b) Procuring organizations shall submit monthly UCA reports to the DLA Compliance, Policy and Pricing Division by the 20th of each month. The DLA Compliance, Policy and Pricing Division will consolidate the monthly reports from each procuring organization and submit the semi-annual reports to the Office of the Director, Defense Pricing and Contracting.</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