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**ID__DLAD_17_9201__ID**</w:t>
      </w:r>
    </w:p>
    <w:p>
      <w:pPr>
        <w:pStyle w:val="Heading3"/>
        <w:spacing w:after="199"/>
        <w:ind w:left="120"/>
        <w:jc w:val="left"/>
      </w:pPr>
      <w:r>
        <w:rPr>
          <w:rFonts w:ascii="Times New Roman" w:hAnsi="Times New Roman"/>
          <w:color w:val="000000"/>
          <w:sz w:val="31"/>
        </w:rPr>
        <w:t>17.9201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(a) A reopener requirement creates a right for an equitable adjustment in the contract price at a specified time or due to the occurrence or non-occurrence of an event or contingency of the type specified in FAR 31.205-7(c)(2).</w:t>
      </w:r>
    </w:p>
    <w:p>
      <w:pPr>
        <w:pBdr>
          <w:top w:space="5"/>
          <w:left w:space="5"/>
          <w:bottom w:space="5"/>
          <w:right w:space="5"/>
        </w:pBdr>
        <w:spacing w:after="0"/>
        <w:ind w:left="225"/>
        <w:jc w:val="left"/>
      </w:pPr>
      <w:r>
        <w:rPr>
          <w:rFonts w:ascii="Times New Roman" w:hAnsi="Times New Roman"/>
          <w:b w:val="false"/>
          <w:i w:val="false"/>
          <w:color w:val="000000"/>
          <w:sz w:val="22"/>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pPr>
        <w:pBdr>
          <w:top w:space="5"/>
          <w:left w:space="5"/>
          <w:bottom w:space="5"/>
          <w:right w:space="5"/>
        </w:pBdr>
        <w:spacing w:after="0"/>
        <w:ind w:left="225"/>
        <w:jc w:val="left"/>
      </w:pPr>
      <w:r>
        <w:rPr>
          <w:rFonts w:ascii="Times New Roman" w:hAnsi="Times New Roman"/>
          <w:b w:val="false"/>
          <w:i w:val="false"/>
          <w:color w:val="000000"/>
          <w:sz w:val="22"/>
        </w:rPr>
        <w:t>(c) Circumstances in which its use may be appropriate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 forward pricing rate agreement (FPRA) or forward pricing rate recommendation (FPRR) is not achievable, because of uncertainties having a significant impact such as:</w:t>
      </w:r>
    </w:p>
    <w:p>
      <w:pPr>
        <w:pBdr>
          <w:top w:space="5"/>
          <w:left w:space="5"/>
          <w:bottom w:space="5"/>
          <w:right w:space="5"/>
        </w:pBdr>
        <w:spacing w:after="0"/>
        <w:ind w:left="945"/>
        <w:jc w:val="left"/>
      </w:pPr>
      <w:r>
        <w:rPr>
          <w:rFonts w:ascii="Times New Roman" w:hAnsi="Times New Roman"/>
          <w:b w:val="false"/>
          <w:i w:val="false"/>
          <w:color w:val="000000"/>
          <w:sz w:val="22"/>
        </w:rPr>
        <w:t>(i) Supporting contractor budgetary data was not submitted;</w:t>
      </w:r>
    </w:p>
    <w:p>
      <w:pPr>
        <w:pBdr>
          <w:top w:space="5"/>
          <w:left w:space="5"/>
          <w:bottom w:space="5"/>
          <w:right w:space="5"/>
        </w:pBdr>
        <w:spacing w:after="0"/>
        <w:ind w:left="945"/>
        <w:jc w:val="left"/>
      </w:pPr>
      <w:r>
        <w:rPr>
          <w:rFonts w:ascii="Times New Roman" w:hAnsi="Times New Roman"/>
          <w:b w:val="false"/>
          <w:i w:val="false"/>
          <w:color w:val="000000"/>
          <w:sz w:val="22"/>
        </w:rPr>
        <w:t>(ii) A substantial portion of the business base has not yet materialized; or,</w:t>
      </w:r>
    </w:p>
    <w:p>
      <w:pPr>
        <w:pBdr>
          <w:top w:space="5"/>
          <w:left w:space="5"/>
          <w:bottom w:space="5"/>
          <w:right w:space="5"/>
        </w:pBdr>
        <w:spacing w:after="0"/>
        <w:ind w:left="945"/>
        <w:jc w:val="left"/>
      </w:pPr>
      <w:r>
        <w:rPr>
          <w:rFonts w:ascii="Times New Roman" w:hAnsi="Times New Roman"/>
          <w:b w:val="false"/>
          <w:i w:val="false"/>
          <w:color w:val="000000"/>
          <w:sz w:val="22"/>
        </w:rPr>
        <w:t>(iii) A potential for purchase, merger, or sale of part of a contractor’s operations exists.</w:t>
      </w:r>
    </w:p>
    <w:p>
      <w:pPr>
        <w:pBdr>
          <w:top w:space="5"/>
          <w:left w:space="5"/>
          <w:bottom w:space="5"/>
          <w:right w:space="5"/>
        </w:pBdr>
        <w:spacing w:after="0"/>
        <w:ind w:left="585"/>
        <w:jc w:val="left"/>
      </w:pPr>
      <w:r>
        <w:rPr>
          <w:rFonts w:ascii="Times New Roman" w:hAnsi="Times New Roman"/>
          <w:b w:val="false"/>
          <w:i w:val="false"/>
          <w:color w:val="000000"/>
          <w:sz w:val="22"/>
        </w:rPr>
        <w:t>(2) The price impact of a change in a requirement, term, or condition made during negotiations is significant but cannot be reasonably quantified and resolved prior to award.</w:t>
      </w:r>
    </w:p>
    <w:p>
      <w:pPr>
        <w:pBdr>
          <w:top w:space="5"/>
          <w:left w:space="5"/>
          <w:bottom w:space="5"/>
          <w:right w:space="5"/>
        </w:pBdr>
        <w:spacing w:after="0"/>
        <w:ind w:left="585"/>
        <w:jc w:val="left"/>
      </w:pPr>
      <w:r>
        <w:rPr>
          <w:rFonts w:ascii="Times New Roman" w:hAnsi="Times New Roman"/>
          <w:b w:val="false"/>
          <w:i w:val="false"/>
          <w:color w:val="000000"/>
          <w:sz w:val="22"/>
        </w:rPr>
        <w:t>(3) The offeror’s estimating system contains significant deficiencies (DFARS 215.811-70(g)(2)(vi) and (3)).</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