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**ID__DLAD_17_9204__ID**</w:t>
      </w:r>
    </w:p>
    <w:p>
      <w:pPr>
        <w:pStyle w:val="Heading3"/>
        <w:spacing w:after="199"/>
        <w:ind w:left="120"/>
        <w:jc w:val="left"/>
      </w:pPr>
      <w:r>
        <w:rPr>
          <w:rFonts w:ascii="Times New Roman" w:hAnsi="Times New Roman"/>
          <w:color w:val="000000"/>
          <w:sz w:val="31"/>
        </w:rPr>
        <w:t>17.9204</w:t>
      </w:r>
      <w:r>
        <w:rPr>
          <w:rFonts w:ascii="Times New Roman" w:hAnsi="Times New Roman"/>
          <w:color w:val="000000"/>
          <w:sz w:val="31"/>
        </w:rPr>
        <w:t xml:space="preserve"> Reopener requirements.</w:t>
      </w:r>
    </w:p>
    <w:p>
      <w:pPr>
        <w:pStyle w:val="Normal"/>
        <w:pBdr>
          <w:top w:space="5"/>
          <w:left w:space="5"/>
          <w:bottom w:space="5"/>
          <w:right w:space="5"/>
        </w:pBdr>
        <w:spacing w:after="0"/>
        <w:ind w:left="225"/>
        <w:jc w:val="left"/>
      </w:pPr>
      <w:r>
        <w:rPr>
          <w:rFonts w:ascii="Times New Roman" w:hAnsi="Times New Roman"/>
          <w:color w:val="000000"/>
        </w:rPr>
        <w:t>The contracting officer must, at a minimum, include the following in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(a) Title that clearly identifies it as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(b) Statement of purpose.</w:t>
      </w:r>
    </w:p>
    <w:p>
      <w:pPr>
        <w:pBdr>
          <w:top w:space="5"/>
          <w:left w:space="5"/>
          <w:bottom w:space="5"/>
          <w:right w:space="5"/>
        </w:pBdr>
        <w:spacing w:after="0"/>
        <w:ind w:left="225"/>
        <w:jc w:val="left"/>
      </w:pPr>
      <w:r>
        <w:rPr>
          <w:rFonts w:ascii="Times New Roman" w:hAnsi="Times New Roman"/>
          <w:b w:val="false"/>
          <w:i w:val="false"/>
          <w:color w:val="000000"/>
          <w:sz w:val="22"/>
        </w:rPr>
        <w:t>(c) Identification of the items, amounts, and event triggering the reopener procedure.</w:t>
      </w:r>
    </w:p>
    <w:p>
      <w:pPr>
        <w:pBdr>
          <w:top w:space="5"/>
          <w:left w:space="5"/>
          <w:bottom w:space="5"/>
          <w:right w:space="5"/>
        </w:pBdr>
        <w:spacing w:after="0"/>
        <w:ind w:left="225"/>
        <w:jc w:val="left"/>
      </w:pPr>
      <w:r>
        <w:rPr>
          <w:rFonts w:ascii="Times New Roman" w:hAnsi="Times New Roman"/>
          <w:b w:val="false"/>
          <w:i w:val="false"/>
          <w:color w:val="000000"/>
          <w:sz w:val="22"/>
        </w:rPr>
        <w:t>(d) Requirement for certified cost or pricing data, and applicability of the Disputes clause.</w:t>
      </w:r>
    </w:p>
    <w:p>
      <w:pPr>
        <w:pBdr>
          <w:top w:space="5"/>
          <w:left w:space="5"/>
          <w:bottom w:space="5"/>
          <w:right w:space="5"/>
        </w:pBdr>
        <w:spacing w:after="0"/>
        <w:ind w:left="225"/>
        <w:jc w:val="left"/>
      </w:pPr>
      <w:r>
        <w:rPr>
          <w:rFonts w:ascii="Times New Roman" w:hAnsi="Times New Roman"/>
          <w:b w:val="false"/>
          <w:i w:val="false"/>
          <w:color w:val="000000"/>
          <w:sz w:val="22"/>
        </w:rPr>
        <w:t>(e) Adjustment pricing methodology in the following order of preference:</w:t>
      </w:r>
    </w:p>
    <w:p>
      <w:pPr>
        <w:pBdr>
          <w:top w:space="5"/>
          <w:left w:space="5"/>
          <w:bottom w:space="5"/>
          <w:right w:space="5"/>
        </w:pBdr>
        <w:spacing w:after="0"/>
        <w:ind w:left="585"/>
        <w:jc w:val="left"/>
      </w:pPr>
      <w:r>
        <w:rPr>
          <w:rFonts w:ascii="Times New Roman" w:hAnsi="Times New Roman"/>
          <w:b w:val="false"/>
          <w:i w:val="false"/>
          <w:color w:val="000000"/>
          <w:sz w:val="22"/>
        </w:rPr>
        <w:t>(1) Pre-established pricing formula;</w:t>
      </w:r>
    </w:p>
    <w:p>
      <w:pPr>
        <w:pBdr>
          <w:top w:space="5"/>
          <w:left w:space="5"/>
          <w:bottom w:space="5"/>
          <w:right w:space="5"/>
        </w:pBdr>
        <w:spacing w:after="0"/>
        <w:ind w:left="585"/>
        <w:jc w:val="left"/>
      </w:pPr>
      <w:r>
        <w:rPr>
          <w:rFonts w:ascii="Times New Roman" w:hAnsi="Times New Roman"/>
          <w:b w:val="false"/>
          <w:i w:val="false"/>
          <w:color w:val="000000"/>
          <w:sz w:val="22"/>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pPr>
        <w:pBdr>
          <w:top w:space="5"/>
          <w:left w:space="5"/>
          <w:bottom w:space="5"/>
          <w:right w:space="5"/>
        </w:pBdr>
        <w:spacing w:after="0"/>
        <w:ind w:left="585"/>
        <w:jc w:val="left"/>
      </w:pPr>
      <w:r>
        <w:rPr>
          <w:rFonts w:ascii="Times New Roman" w:hAnsi="Times New Roman"/>
          <w:b w:val="false"/>
          <w:i w:val="false"/>
          <w:color w:val="000000"/>
          <w:sz w:val="22"/>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pPr>
        <w:pBdr>
          <w:top w:space="5"/>
          <w:left w:space="5"/>
          <w:bottom w:space="5"/>
          <w:right w:space="5"/>
        </w:pBdr>
        <w:spacing w:after="0"/>
        <w:ind w:left="225"/>
        <w:jc w:val="left"/>
      </w:pPr>
      <w:r>
        <w:rPr>
          <w:rFonts w:ascii="Times New Roman" w:hAnsi="Times New Roman"/>
          <w:b w:val="false"/>
          <w:i w:val="false"/>
          <w:color w:val="000000"/>
          <w:sz w:val="22"/>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pPr>
        <w:pBdr>
          <w:top w:space="5"/>
          <w:left w:space="5"/>
          <w:bottom w:space="5"/>
          <w:right w:space="5"/>
        </w:pBdr>
        <w:spacing w:after="0"/>
        <w:ind w:left="225"/>
        <w:jc w:val="left"/>
      </w:pPr>
      <w:r>
        <w:rPr>
          <w:rFonts w:ascii="Times New Roman" w:hAnsi="Times New Roman"/>
          <w:b w:val="false"/>
          <w:i w:val="false"/>
          <w:color w:val="000000"/>
          <w:sz w:val="22"/>
        </w:rPr>
        <w:t>(g) The method of adjusting any option quantity or period prices, if any, which may result from operation of the reopener.</w:t>
      </w:r>
    </w:p>
    <w:p>
      <w:pPr>
        <w:pBdr>
          <w:top w:space="5"/>
          <w:left w:space="5"/>
          <w:bottom w:space="5"/>
          <w:right w:space="5"/>
        </w:pBdr>
        <w:spacing w:after="0"/>
        <w:ind w:left="225"/>
        <w:jc w:val="left"/>
      </w:pPr>
      <w:r>
        <w:rPr>
          <w:rFonts w:ascii="Times New Roman" w:hAnsi="Times New Roman"/>
          <w:b w:val="false"/>
          <w:i w:val="false"/>
          <w:color w:val="000000"/>
          <w:sz w:val="22"/>
        </w:rPr>
        <w:t>(h) If the contract is not subject to the Cost Accounting Standards (FAR Part 30), the treatment of accounting system changes that impact the price adjustment under the reopener.</w:t>
      </w:r>
    </w:p>
    <w:p>
      <w:pPr>
        <w:pBdr>
          <w:top w:space="5"/>
          <w:left w:space="5"/>
          <w:bottom w:space="5"/>
          <w:right w:space="5"/>
        </w:pBdr>
        <w:spacing w:after="0"/>
        <w:ind w:left="225"/>
        <w:jc w:val="left"/>
      </w:pPr>
      <w:r>
        <w:rPr>
          <w:rFonts w:ascii="Times New Roman" w:hAnsi="Times New Roman"/>
          <w:b w:val="false"/>
          <w:i w:val="false"/>
          <w:color w:val="000000"/>
          <w:sz w:val="22"/>
        </w:rPr>
        <w:t>(i) The contractor must confirm the award price does not include any amount for the specified contingency except as provided for in the reopener requirement.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