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**ID__DLAD_17_9305__ID**</w:t>
      </w:r>
    </w:p>
    <w:p>
      <w:pPr>
        <w:pStyle w:val="Heading3"/>
        <w:spacing w:after="199"/>
        <w:ind w:left="120"/>
        <w:jc w:val="left"/>
      </w:pPr>
      <w:r>
        <w:rPr>
          <w:rFonts w:ascii="Times New Roman" w:hAnsi="Times New Roman"/>
          <w:color w:val="000000"/>
          <w:sz w:val="31"/>
        </w:rPr>
        <w:t>17.9305</w:t>
      </w:r>
      <w:r>
        <w:rPr>
          <w:rFonts w:ascii="Times New Roman" w:hAnsi="Times New Roman"/>
          <w:color w:val="000000"/>
          <w:sz w:val="31"/>
        </w:rPr>
        <w:t xml:space="preserve">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jccs.gov/wicap"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