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**ID__DLAD_17_9501__ID**</w:t>
      </w:r>
    </w:p>
    <w:p>
      <w:pPr>
        <w:pStyle w:val="Heading3"/>
        <w:spacing w:after="199"/>
        <w:ind w:left="120"/>
        <w:jc w:val="left"/>
      </w:pPr>
      <w:r>
        <w:rPr>
          <w:rFonts w:ascii="Times New Roman" w:hAnsi="Times New Roman"/>
          <w:color w:val="000000"/>
          <w:sz w:val="31"/>
        </w:rPr>
        <w:t>17.9501</w:t>
      </w:r>
      <w:r>
        <w:rPr>
          <w:rFonts w:ascii="Times New Roman" w:hAnsi="Times New Roman"/>
          <w:color w:val="000000"/>
          <w:sz w:val="31"/>
        </w:rPr>
        <w:t xml:space="preserve"> Definitions.</w:t>
      </w:r>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