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**ID__DLAD_17_9502__ID**</w:t>
      </w:r>
    </w:p>
    <w:p>
      <w:pPr>
        <w:pStyle w:val="Heading3"/>
        <w:spacing w:after="199"/>
        <w:ind w:left="120"/>
        <w:jc w:val="left"/>
      </w:pPr>
      <w:r>
        <w:rPr>
          <w:rFonts w:ascii="Times New Roman" w:hAnsi="Times New Roman"/>
          <w:color w:val="000000"/>
          <w:sz w:val="31"/>
        </w:rPr>
        <w:t>17.9502</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consider using tailored logistics support (TLS) contracts whenever a viable commercial supply chain exists for the items and associated services being acquired.</w:t>
      </w:r>
    </w:p>
    <w:p>
      <w:pPr>
        <w:pBdr>
          <w:top w:space="5"/>
          <w:left w:space="5"/>
          <w:bottom w:space="5"/>
          <w:right w:space="5"/>
        </w:pBdr>
        <w:spacing w:after="0"/>
        <w:ind w:left="225"/>
        <w:jc w:val="left"/>
      </w:pPr>
      <w:r>
        <w:rPr>
          <w:rFonts w:ascii="Times New Roman" w:hAnsi="Times New Roman"/>
          <w:b w:val="false"/>
          <w:i w:val="false"/>
          <w:color w:val="000000"/>
          <w:sz w:val="22"/>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pPr>
        <w:pBdr>
          <w:top w:space="5"/>
          <w:left w:space="5"/>
          <w:bottom w:space="5"/>
          <w:right w:space="5"/>
        </w:pBdr>
        <w:spacing w:after="0"/>
        <w:ind w:left="225"/>
        <w:jc w:val="left"/>
      </w:pPr>
      <w:r>
        <w:rPr>
          <w:rFonts w:ascii="Times New Roman" w:hAnsi="Times New Roman"/>
          <w:b w:val="false"/>
          <w:i w:val="false"/>
          <w:color w:val="000000"/>
          <w:sz w:val="22"/>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(1) Price reasonableness and negotiation skills practicum</w:t>
      </w:r>
    </w:p>
    <w:p>
      <w:pPr>
        <w:pBdr>
          <w:top w:space="5"/>
          <w:left w:space="5"/>
          <w:bottom w:space="5"/>
          <w:right w:space="5"/>
        </w:pBdr>
        <w:spacing w:after="0"/>
        <w:ind w:left="585"/>
        <w:jc w:val="left"/>
      </w:pPr>
      <w:r>
        <w:rPr>
          <w:rFonts w:ascii="Times New Roman" w:hAnsi="Times New Roman"/>
          <w:b w:val="false"/>
          <w:i w:val="false"/>
          <w:color w:val="000000"/>
          <w:sz w:val="22"/>
        </w:rPr>
        <w:t>(2) Commercial item determination –on-line course (CLC 020)</w:t>
      </w:r>
    </w:p>
    <w:p>
      <w:pPr>
        <w:pBdr>
          <w:top w:space="5"/>
          <w:left w:space="5"/>
          <w:bottom w:space="5"/>
          <w:right w:space="5"/>
        </w:pBdr>
        <w:spacing w:after="0"/>
        <w:ind w:left="585"/>
        <w:jc w:val="left"/>
      </w:pPr>
      <w:r>
        <w:rPr>
          <w:rFonts w:ascii="Times New Roman" w:hAnsi="Times New Roman"/>
          <w:b w:val="false"/>
          <w:i w:val="false"/>
          <w:color w:val="000000"/>
          <w:sz w:val="22"/>
        </w:rPr>
        <w:t>(3) Commercial item pricing (CLC 131)</w:t>
      </w:r>
    </w:p>
    <w:p>
      <w:pPr>
        <w:pBdr>
          <w:top w:space="5"/>
          <w:left w:space="5"/>
          <w:bottom w:space="5"/>
          <w:right w:space="5"/>
        </w:pBdr>
        <w:spacing w:after="0"/>
        <w:ind w:left="585"/>
        <w:jc w:val="left"/>
      </w:pPr>
      <w:r>
        <w:rPr>
          <w:rFonts w:ascii="Times New Roman" w:hAnsi="Times New Roman"/>
          <w:b w:val="false"/>
          <w:i w:val="false"/>
          <w:color w:val="000000"/>
          <w:sz w:val="22"/>
        </w:rPr>
        <w:t>(4) Procurement fraud indicators (CLM 049)</w:t>
      </w:r>
    </w:p>
    <w:p>
      <w:pPr>
        <w:pBdr>
          <w:top w:space="5"/>
          <w:left w:space="5"/>
          <w:bottom w:space="5"/>
          <w:right w:space="5"/>
        </w:pBdr>
        <w:spacing w:after="0"/>
        <w:ind w:left="585"/>
        <w:jc w:val="left"/>
      </w:pPr>
      <w:r>
        <w:rPr>
          <w:rFonts w:ascii="Times New Roman" w:hAnsi="Times New Roman"/>
          <w:b w:val="false"/>
          <w:i w:val="false"/>
          <w:color w:val="000000"/>
          <w:sz w:val="22"/>
        </w:rPr>
        <w:t>(5) Contract pricing refresher</w:t>
      </w:r>
    </w:p>
    <w:p>
      <w:pPr>
        <w:pBdr>
          <w:top w:space="5"/>
          <w:left w:space="5"/>
          <w:bottom w:space="5"/>
          <w:right w:space="5"/>
        </w:pBdr>
        <w:spacing w:after="0"/>
        <w:ind w:left="585"/>
        <w:jc w:val="left"/>
      </w:pPr>
      <w:r>
        <w:rPr>
          <w:rFonts w:ascii="Times New Roman" w:hAnsi="Times New Roman"/>
          <w:b w:val="false"/>
          <w:i w:val="false"/>
          <w:color w:val="000000"/>
          <w:sz w:val="22"/>
        </w:rPr>
        <w:t>(6) Pricing catalogs for prime supplier programs</w:t>
      </w:r>
    </w:p>
    <w:p>
      <w:pPr>
        <w:pBdr>
          <w:top w:space="5"/>
          <w:left w:space="5"/>
          <w:bottom w:space="5"/>
          <w:right w:space="5"/>
        </w:pBdr>
        <w:spacing w:after="0"/>
        <w:ind w:left="585"/>
        <w:jc w:val="left"/>
      </w:pPr>
      <w:r>
        <w:rPr>
          <w:rFonts w:ascii="Times New Roman" w:hAnsi="Times New Roman"/>
          <w:b w:val="false"/>
          <w:i w:val="false"/>
          <w:color w:val="000000"/>
          <w:sz w:val="22"/>
        </w:rPr>
        <w:t>(7) Contract administration (including closeout, CORs and COTRs)</w:t>
      </w:r>
    </w:p>
    <w:p>
      <w:pPr>
        <w:pBdr>
          <w:top w:space="5"/>
          <w:left w:space="5"/>
          <w:bottom w:space="5"/>
          <w:right w:space="5"/>
        </w:pBdr>
        <w:spacing w:after="0"/>
        <w:ind w:left="585"/>
        <w:jc w:val="left"/>
      </w:pPr>
      <w:r>
        <w:rPr>
          <w:rFonts w:ascii="Times New Roman" w:hAnsi="Times New Roman"/>
          <w:b w:val="false"/>
          <w:i w:val="false"/>
          <w:color w:val="000000"/>
          <w:sz w:val="22"/>
        </w:rPr>
        <w:t>(8) Domestic content update and refresher (see also the DAU Course “Berry Amendment” (CLC 125)</w:t>
      </w:r>
    </w:p>
    <w:p>
      <w:pPr>
        <w:pBdr>
          <w:top w:space="5"/>
          <w:left w:space="5"/>
          <w:bottom w:space="5"/>
          <w:right w:space="5"/>
        </w:pBdr>
        <w:spacing w:after="0"/>
        <w:ind w:left="585"/>
        <w:jc w:val="left"/>
      </w:pPr>
      <w:r>
        <w:rPr>
          <w:rFonts w:ascii="Times New Roman" w:hAnsi="Times New Roman"/>
          <w:b w:val="false"/>
          <w:i w:val="false"/>
          <w:color w:val="000000"/>
          <w:sz w:val="22"/>
        </w:rPr>
        <w:t>(9) CQMPs and the acquisition review board process</w:t>
      </w:r>
    </w:p>
    <w:p>
      <w:pPr>
        <w:pBdr>
          <w:top w:space="5"/>
          <w:left w:space="5"/>
          <w:bottom w:space="5"/>
          <w:right w:space="5"/>
        </w:pBdr>
        <w:spacing w:after="0"/>
        <w:ind w:left="585"/>
        <w:jc w:val="left"/>
      </w:pPr>
      <w:r>
        <w:rPr>
          <w:rFonts w:ascii="Times New Roman" w:hAnsi="Times New Roman"/>
          <w:b w:val="false"/>
          <w:i w:val="false"/>
          <w:color w:val="000000"/>
          <w:sz w:val="22"/>
        </w:rPr>
        <w:t>(10)</w:t>
      </w:r>
      <w:r>
        <w:rPr>
          <w:rFonts w:ascii="Times New Roman" w:hAnsi="Times New Roman"/>
          <w:b w:val="false"/>
          <w:i w:val="false"/>
          <w:color w:val="000000"/>
          <w:sz w:val="22"/>
        </w:rPr>
        <w:t>Contract documentation requirements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