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**ID__DLAD_19_590__ID**</w:t>
      </w:r>
    </w:p>
    <w:p>
      <w:pPr>
        <w:pStyle w:val="Heading3"/>
        <w:spacing w:after="199"/>
        <w:ind w:left="120"/>
        <w:jc w:val="left"/>
      </w:pPr>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