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1.604</w:t>
      </w:r>
      <w:r>
        <w:rPr>
          <w:rFonts w:ascii="Times New Roman" w:hAnsi="Times New Roman"/>
          <w:color w:val="000000"/>
          <w:sz w:val="31"/>
        </w:rPr>
        <w:t xml:space="preserve"> Contracting officer’s representative (COR).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For policies regarding the Joint Appointment Module (JAM) and Surveillance and Performance Monitoring (SPM) Module in the Procurement Integrated Enterprise Environment (PIEE), see</w:t>
      </w:r>
      <w:r>
        <w:rPr>
          <w:rFonts w:ascii="Times New Roman" w:hAnsi="Times New Roman"/>
          <w:i/>
          <w:color w:val="000000"/>
        </w:rPr>
        <w:t>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1.602-2</w:t>
        </w:r>
      </w:hyperlink>
      <w:r>
        <w:rPr>
          <w:rFonts w:ascii="Times New Roman" w:hAnsi="Times New Roman"/>
          <w:color w:val="000000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.602-2.dita#DLAD_1_602-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