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**ID__DLAD_25_7301__ID**</w:t>
      </w:r>
    </w:p>
    <w:p>
      <w:pPr>
        <w:pStyle w:val="Heading3"/>
        <w:spacing w:after="199"/>
        <w:ind w:left="120"/>
        <w:jc w:val="left"/>
      </w:pPr>
      <w:r>
        <w:rPr>
          <w:rFonts w:ascii="Times New Roman" w:hAnsi="Times New Roman"/>
          <w:color w:val="000000"/>
          <w:sz w:val="31"/>
        </w:rPr>
        <w:t>25.7301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