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**ID__DLAD_1_690-4__ID**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1.690-4</w:t>
      </w:r>
      <w:r>
        <w:rPr>
          <w:rFonts w:ascii="Times New Roman" w:hAnsi="Times New Roman"/>
          <w:color w:val="000000"/>
          <w:sz w:val="31"/>
        </w:rPr>
        <w:t xml:space="preserve"> Strategic contract (STRATCON) oversight.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SPE and the Senior Services Manager (SSM) (for acquisition of services) reserve the right to review any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Procuring organizations shall report forecasted strategic contracts as defined in DLAD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the DLA Acquisition Operations Division by the 10th of each month. The DLA Acquisition Operations Division will recommend acquisitions or contracts to be reviewed by the SPE/SSM.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SPE/SSM shall advise the HCAs of acquisitions that have been selected for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HCAs shall consider holding Acquisition Strategy Review Panels (ASRPs) and Integrated Acquisition Review Boards (IARBs) for strategic contracts (see definitions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2.101.dita#DLAD_2_101" Type="http://schemas.openxmlformats.org/officeDocument/2006/relationships/hyperlink" Id="rId4"/>
    <Relationship TargetMode="External" Target="2.101.dita#DLAD_2_1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