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**ID__DLAD_1_690-5__ID**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1.690-5</w:t>
      </w:r>
      <w:r>
        <w:rPr>
          <w:rFonts w:ascii="Times New Roman" w:hAnsi="Times New Roman"/>
          <w:color w:val="000000"/>
          <w:sz w:val="31"/>
        </w:rPr>
        <w:t xml:space="preserve"> Business case analysis (BCA).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In accordance with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DLAI 5010.06, Business Case Analysis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https://issue-p.dla.mil/Published_Issuances/i5010.06.pdf</w:t>
        </w:r>
      </w:hyperlink>
      <w:r>
        <w:rPr>
          <w:rFonts w:ascii="Times New Roman" w:hAnsi="Times New Roman"/>
          <w:color w:val="000000"/>
        </w:rPr>
        <w:t>), and Office of Management and Budget Circular A-94, procuring organizations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Conduct appropriate cost analyses to validate the acquisition strategy, including cost-benefit analyses.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Revalidate any BCA performed in support of the acquisition strategy prior to each change in the acquisition strategy or every five years, whichever occurs first.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Include in BCAs for services an independent government cost estimate (IGCE) in accordance with guidance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Independent Government Cost Estimate (IGCE) Handbook for Services Acquisition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https://www.acq.osd.mil/dpap/sa/Policies/docs/DoD_IGCE_for_SA_Handbook.pdf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ssue-p.dla.mil/Published_Issuances/i5010.06.pdf" Type="http://schemas.openxmlformats.org/officeDocument/2006/relationships/hyperlink" Id="rId4"/>
    <Relationship TargetMode="External" Target="https://issue-p.dla.mil/Published_Issuances/i5010.06.pdf" Type="http://schemas.openxmlformats.org/officeDocument/2006/relationships/hyperlink" Id="rId5"/>
    <Relationship TargetMode="External" Target="https://www.acq.osd.mil/dpap/sa/Policies/docs/DoD_IGCE_for_SA_Handbook.pdf" Type="http://schemas.openxmlformats.org/officeDocument/2006/relationships/hyperlink" Id="rId6"/>
    <Relationship TargetMode="External" Target="https://www.acq.osd.mil/dpap/sa/Policies/docs/DoD_IGCE_for_SA_Handbook.pdf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