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**ID__DLAD_32_905__ID**</w:t>
      </w:r>
    </w:p>
    <w:p>
      <w:pPr>
        <w:pStyle w:val="Heading3"/>
        <w:spacing w:after="199"/>
        <w:ind w:left="120"/>
        <w:jc w:val="left"/>
      </w:pPr>
      <w:r>
        <w:rPr>
          <w:rFonts w:ascii="Times New Roman" w:hAnsi="Times New Roman"/>
          <w:color w:val="000000"/>
          <w:sz w:val="31"/>
        </w:rPr>
        <w:t>32.905</w:t>
      </w:r>
      <w:r>
        <w:rPr>
          <w:rFonts w:ascii="Times New Roman" w:hAnsi="Times New Roman"/>
          <w:color w:val="000000"/>
          <w:sz w:val="31"/>
        </w:rPr>
        <w:t xml:space="preserve"> Payment documentation and process.</w:t>
      </w:r>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TPD is a commercial document generated by the contractor and/or the transporter of supplies and signed by the Government customer at time of delivery. TPD, in combination with adequate contractor documentation cross-referencing the TPD to the specific supplies provided, demonstrates customer receipt. Coupled with acceptance, this documentation allows the Government to initiate the payment process. The TPD process enables contractors to take advantage of existing wide area work flow (WAWF) functionality to execute the submission of proof of delivery documentation.</w:t>
      </w:r>
    </w:p>
    <w:p>
      <w:pPr>
        <w:pBdr>
          <w:top w:space="5"/>
          <w:left w:space="5"/>
          <w:bottom w:space="5"/>
          <w:right w:space="5"/>
        </w:pBdr>
        <w:spacing w:after="0"/>
        <w:ind w:left="945"/>
        <w:jc w:val="left"/>
      </w:pPr>
      <w:r>
        <w:rPr>
          <w:rFonts w:ascii="Times New Roman" w:hAnsi="Times New Roman"/>
          <w:b w:val="false"/>
          <w:i w:val="false"/>
          <w:color w:val="000000"/>
          <w:sz w:val="22"/>
        </w:rPr>
        <w:t>(ii) PD is not a substitute for any other requested receipt and acceptance documentation, such as the material receipt acknowledgement (MRA) or the WAWF receiving report (RR), but is a supplement to such documentation.</w:t>
      </w:r>
    </w:p>
    <w:p>
      <w:pPr>
        <w:pBdr>
          <w:top w:space="5"/>
          <w:left w:space="5"/>
          <w:bottom w:space="5"/>
          <w:right w:space="5"/>
        </w:pBdr>
        <w:spacing w:after="0"/>
        <w:ind w:left="225"/>
        <w:jc w:val="left"/>
      </w:pPr>
      <w:r>
        <w:rPr>
          <w:rFonts w:ascii="Times New Roman" w:hAnsi="Times New Roman"/>
          <w:b w:val="false"/>
          <w:i w:val="false"/>
          <w:color w:val="000000"/>
          <w:sz w:val="22"/>
        </w:rPr>
        <w:t>(b) Content of invoices.</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DLA may accept supplies based on submission by the contractor of satisfactory documentation to demonstrate customer receipt of supplies under a specific contract or order in accordance with 32.905(a)(S-90)(1).</w:t>
      </w:r>
    </w:p>
    <w:p>
      <w:pPr>
        <w:pBdr>
          <w:top w:space="5"/>
          <w:left w:space="5"/>
          <w:bottom w:space="5"/>
          <w:right w:space="5"/>
        </w:pBdr>
        <w:spacing w:after="0"/>
        <w:ind w:left="945"/>
        <w:jc w:val="left"/>
      </w:pPr>
      <w:r>
        <w:rPr>
          <w:rFonts w:ascii="Times New Roman" w:hAnsi="Times New Roman"/>
          <w:b w:val="false"/>
          <w:i w:val="false"/>
          <w:color w:val="000000"/>
          <w:sz w:val="22"/>
        </w:rPr>
        <w:t>(ii) If the customer has submitted a supply discrepancy report (SDR) or MRA discrepancy indicator, payment shall not be made until the discrepancy is resolved.</w:t>
      </w:r>
    </w:p>
    <w:p>
      <w:pPr>
        <w:pBdr>
          <w:top w:space="5"/>
          <w:left w:space="5"/>
          <w:bottom w:space="5"/>
          <w:right w:space="5"/>
        </w:pBdr>
        <w:spacing w:after="0"/>
        <w:ind w:left="225"/>
        <w:jc w:val="left"/>
      </w:pPr>
      <w:r>
        <w:rPr>
          <w:rFonts w:ascii="Times New Roman" w:hAnsi="Times New Roman"/>
          <w:b w:val="false"/>
          <w:i w:val="false"/>
          <w:color w:val="000000"/>
          <w:sz w:val="22"/>
        </w:rPr>
        <w:t>(c) Authorization to pay.</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Application. Contracting officers at DLA Aviation, DLA Land and Maritime, and DLA Troop Support shall insert procurement note H15, Transporter Proof of Delivery (TPD), in solicitations and awards for supplies when all of the following conditions apply:</w:t>
      </w:r>
    </w:p>
    <w:p>
      <w:pPr>
        <w:pBdr>
          <w:top w:space="5"/>
          <w:left w:space="5"/>
          <w:bottom w:space="5"/>
          <w:right w:space="5"/>
        </w:pBdr>
        <w:spacing w:after="0"/>
        <w:ind w:left="1305"/>
        <w:jc w:val="left"/>
      </w:pPr>
      <w:r>
        <w:rPr>
          <w:rFonts w:ascii="Times New Roman" w:hAnsi="Times New Roman"/>
          <w:b w:val="false"/>
          <w:i w:val="false"/>
          <w:color w:val="000000"/>
          <w:sz w:val="22"/>
        </w:rPr>
        <w:t>(A) Contract deliveries will be made directly to DLA customers;</w:t>
      </w:r>
    </w:p>
    <w:p>
      <w:pPr>
        <w:pBdr>
          <w:top w:space="5"/>
          <w:left w:space="5"/>
          <w:bottom w:space="5"/>
          <w:right w:space="5"/>
        </w:pBdr>
        <w:spacing w:after="0"/>
        <w:ind w:left="1305"/>
        <w:jc w:val="left"/>
      </w:pPr>
      <w:r>
        <w:rPr>
          <w:rFonts w:ascii="Times New Roman" w:hAnsi="Times New Roman"/>
          <w:b w:val="false"/>
          <w:i w:val="false"/>
          <w:color w:val="000000"/>
          <w:sz w:val="22"/>
        </w:rPr>
        <w:t>(B) Award will be made on a fixed-price basis;</w:t>
      </w:r>
    </w:p>
    <w:p>
      <w:pPr>
        <w:pBdr>
          <w:top w:space="5"/>
          <w:left w:space="5"/>
          <w:bottom w:space="5"/>
          <w:right w:space="5"/>
        </w:pBdr>
        <w:spacing w:after="0"/>
        <w:ind w:left="1305"/>
        <w:jc w:val="left"/>
      </w:pPr>
      <w:r>
        <w:rPr>
          <w:rFonts w:ascii="Times New Roman" w:hAnsi="Times New Roman"/>
          <w:b w:val="false"/>
          <w:i w:val="false"/>
          <w:color w:val="000000"/>
          <w:sz w:val="22"/>
        </w:rPr>
        <w:t>(C) Inspection or acceptance at source is not required;</w:t>
      </w:r>
    </w:p>
    <w:p>
      <w:pPr>
        <w:pBdr>
          <w:top w:space="5"/>
          <w:left w:space="5"/>
          <w:bottom w:space="5"/>
          <w:right w:space="5"/>
        </w:pBdr>
        <w:spacing w:after="0"/>
        <w:ind w:left="1305"/>
        <w:jc w:val="left"/>
      </w:pPr>
      <w:r>
        <w:rPr>
          <w:rFonts w:ascii="Times New Roman" w:hAnsi="Times New Roman"/>
          <w:b w:val="false"/>
          <w:i w:val="false"/>
          <w:color w:val="000000"/>
          <w:sz w:val="22"/>
        </w:rPr>
        <w:t>(D) Use of fast payment procedures is not authorized;</w:t>
      </w:r>
    </w:p>
    <w:p>
      <w:pPr>
        <w:pBdr>
          <w:top w:space="5"/>
          <w:left w:space="5"/>
          <w:bottom w:space="5"/>
          <w:right w:space="5"/>
        </w:pBdr>
        <w:spacing w:after="0"/>
        <w:ind w:left="1305"/>
        <w:jc w:val="left"/>
      </w:pPr>
      <w:r>
        <w:rPr>
          <w:rFonts w:ascii="Times New Roman" w:hAnsi="Times New Roman"/>
          <w:b w:val="false"/>
          <w:i w:val="false"/>
          <w:color w:val="000000"/>
          <w:sz w:val="22"/>
        </w:rPr>
        <w:t>(E) Shipments to overseas destinations or to containerization consolidation points are not required; and</w:t>
      </w:r>
    </w:p>
    <w:p>
      <w:pPr>
        <w:pBdr>
          <w:top w:space="5"/>
          <w:left w:space="5"/>
          <w:bottom w:space="5"/>
          <w:right w:space="5"/>
        </w:pBdr>
        <w:spacing w:after="0"/>
        <w:ind w:left="1305"/>
        <w:jc w:val="left"/>
      </w:pPr>
      <w:r>
        <w:rPr>
          <w:rFonts w:ascii="Times New Roman" w:hAnsi="Times New Roman"/>
          <w:b w:val="false"/>
          <w:i w:val="false"/>
          <w:color w:val="000000"/>
          <w:sz w:val="22"/>
        </w:rPr>
        <w:t>(F) Acquisition is not being conducted under the subsistence total order and receipt electronic system (STORES), Defense Medical Logistics Standard Support (DMLSS), Industrial Prime Vendor (IPV), or Integrated Logistics Partner (ILP) programs.</w:t>
      </w:r>
    </w:p>
    <w:p>
      <w:pPr>
        <w:pBdr>
          <w:top w:space="5"/>
          <w:left w:space="5"/>
          <w:bottom w:space="5"/>
          <w:right w:space="5"/>
        </w:pBdr>
        <w:spacing w:after="0"/>
        <w:ind w:left="945"/>
        <w:jc w:val="left"/>
      </w:pPr>
      <w:r>
        <w:rPr>
          <w:rFonts w:ascii="Times New Roman" w:hAnsi="Times New Roman"/>
          <w:b w:val="false"/>
          <w:i w:val="false"/>
          <w:color w:val="000000"/>
          <w:sz w:val="22"/>
        </w:rPr>
        <w:t>(ii) Transporter proof of delivery procedural guidance.</w:t>
      </w:r>
    </w:p>
    <w:p>
      <w:pPr>
        <w:pBdr>
          <w:top w:space="5"/>
          <w:left w:space="5"/>
          <w:bottom w:space="5"/>
          <w:right w:space="5"/>
        </w:pBdr>
        <w:spacing w:after="0"/>
        <w:ind w:left="1305"/>
        <w:jc w:val="left"/>
      </w:pPr>
      <w:r>
        <w:rPr>
          <w:rFonts w:ascii="Times New Roman" w:hAnsi="Times New Roman"/>
          <w:b w:val="false"/>
          <w:i w:val="false"/>
          <w:color w:val="000000"/>
          <w:sz w:val="22"/>
        </w:rPr>
        <w:t>(A) Contract terms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Designate “inspection” and “acceptance” as “other;”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Designate the “Acceptor at Other” Department of Defense activity address code (DoDAAC) as follows:</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w:t>
      </w:r>
      <w:r>
        <w:rPr>
          <w:rFonts w:ascii="Times New Roman" w:hAnsi="Times New Roman"/>
          <w:b w:val="false"/>
          <w:i/>
          <w:color w:val="000000"/>
          <w:sz w:val="22"/>
        </w:rPr>
        <w:t>)</w:t>
      </w:r>
      <w:r>
        <w:rPr>
          <w:rFonts w:ascii="Times New Roman" w:hAnsi="Times New Roman"/>
          <w:b w:val="false"/>
          <w:i w:val="false"/>
          <w:color w:val="000000"/>
          <w:sz w:val="22"/>
        </w:rPr>
        <w:t xml:space="preserve"> If “issue by” DoDAAC is SPM1 or SPE1, use SP1001.</w:t>
      </w:r>
    </w:p>
    <w:p>
      <w:pPr>
        <w:pBdr>
          <w:top w:space="5"/>
          <w:left w:space="5"/>
          <w:bottom w:space="5"/>
          <w:right w:space="5"/>
        </w:pBdr>
        <w:spacing w:after="0"/>
        <w:ind w:left="238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If “issue by” DoDAAC is SPM2 or SPE2, use SP2001.</w:t>
      </w:r>
    </w:p>
    <w:p>
      <w:pPr>
        <w:pBdr>
          <w:top w:space="5"/>
          <w:left w:space="5"/>
          <w:bottom w:space="5"/>
          <w:right w:space="5"/>
        </w:pBdr>
        <w:spacing w:after="0"/>
        <w:ind w:left="2385"/>
        <w:jc w:val="left"/>
      </w:pPr>
      <w:r>
        <w:rPr>
          <w:rFonts w:ascii="Times New Roman" w:hAnsi="Times New Roman"/>
          <w:b w:val="false"/>
          <w:i/>
          <w:color w:val="000000"/>
          <w:sz w:val="22"/>
        </w:rPr>
        <w:t>(iii)</w:t>
      </w:r>
      <w:r>
        <w:rPr>
          <w:rFonts w:ascii="Times New Roman" w:hAnsi="Times New Roman"/>
          <w:b w:val="false"/>
          <w:i w:val="false"/>
          <w:color w:val="000000"/>
          <w:sz w:val="22"/>
        </w:rPr>
        <w:t xml:space="preserve"> If “issue by” DoDAAC is SPM3 or SPE3, use SP3001.</w:t>
      </w:r>
    </w:p>
    <w:p>
      <w:pPr>
        <w:pBdr>
          <w:top w:space="5"/>
          <w:left w:space="5"/>
          <w:bottom w:space="5"/>
          <w:right w:space="5"/>
        </w:pBdr>
        <w:spacing w:after="0"/>
        <w:ind w:left="2385"/>
        <w:jc w:val="left"/>
      </w:pPr>
      <w:r>
        <w:rPr>
          <w:rFonts w:ascii="Times New Roman" w:hAnsi="Times New Roman"/>
          <w:b w:val="false"/>
          <w:i/>
          <w:color w:val="000000"/>
          <w:sz w:val="22"/>
        </w:rPr>
        <w:t>(iv)</w:t>
      </w:r>
      <w:r>
        <w:rPr>
          <w:rFonts w:ascii="Times New Roman" w:hAnsi="Times New Roman"/>
          <w:b w:val="false"/>
          <w:i w:val="false"/>
          <w:color w:val="000000"/>
          <w:sz w:val="22"/>
        </w:rPr>
        <w:t xml:space="preserve"> If “issue by” DoDAAC is SPM4A1 or SPE4A1, use SP4001.</w:t>
      </w:r>
    </w:p>
    <w:p>
      <w:pPr>
        <w:pBdr>
          <w:top w:space="5"/>
          <w:left w:space="5"/>
          <w:bottom w:space="5"/>
          <w:right w:space="5"/>
        </w:pBdr>
        <w:spacing w:after="0"/>
        <w:ind w:left="2385"/>
        <w:jc w:val="left"/>
      </w:pPr>
      <w:r>
        <w:rPr>
          <w:rFonts w:ascii="Times New Roman" w:hAnsi="Times New Roman"/>
          <w:b w:val="false"/>
          <w:i/>
          <w:color w:val="000000"/>
          <w:sz w:val="22"/>
        </w:rPr>
        <w:t>(v)</w:t>
      </w:r>
      <w:r>
        <w:rPr>
          <w:rFonts w:ascii="Times New Roman" w:hAnsi="Times New Roman"/>
          <w:b w:val="false"/>
          <w:i w:val="false"/>
          <w:color w:val="000000"/>
          <w:sz w:val="22"/>
        </w:rPr>
        <w:t xml:space="preserve"> If “issue by” DoDAAC is SPM5 or SPE5, use SP5001.</w:t>
      </w:r>
    </w:p>
    <w:p>
      <w:pPr>
        <w:pBdr>
          <w:top w:space="5"/>
          <w:left w:space="5"/>
          <w:bottom w:space="5"/>
          <w:right w:space="5"/>
        </w:pBdr>
        <w:spacing w:after="0"/>
        <w:ind w:left="2385"/>
        <w:jc w:val="left"/>
      </w:pPr>
      <w:r>
        <w:rPr>
          <w:rFonts w:ascii="Times New Roman" w:hAnsi="Times New Roman"/>
          <w:b w:val="false"/>
          <w:i/>
          <w:color w:val="000000"/>
          <w:sz w:val="22"/>
        </w:rPr>
        <w:t>(vi)</w:t>
      </w:r>
      <w:r>
        <w:rPr>
          <w:rFonts w:ascii="Times New Roman" w:hAnsi="Times New Roman"/>
          <w:b w:val="false"/>
          <w:i w:val="false"/>
          <w:color w:val="000000"/>
          <w:sz w:val="22"/>
        </w:rPr>
        <w:t xml:space="preserve"> If “issue by” DoDAAC is SPM7L1 or SPE7L1, use SP7001.</w:t>
      </w:r>
    </w:p>
    <w:p>
      <w:pPr>
        <w:pBdr>
          <w:top w:space="5"/>
          <w:left w:space="5"/>
          <w:bottom w:space="5"/>
          <w:right w:space="5"/>
        </w:pBdr>
        <w:spacing w:after="0"/>
        <w:ind w:left="2385"/>
        <w:jc w:val="left"/>
      </w:pPr>
      <w:r>
        <w:rPr>
          <w:rFonts w:ascii="Times New Roman" w:hAnsi="Times New Roman"/>
          <w:b w:val="false"/>
          <w:i/>
          <w:color w:val="000000"/>
          <w:sz w:val="22"/>
        </w:rPr>
        <w:t>(vii)</w:t>
      </w:r>
      <w:r>
        <w:rPr>
          <w:rFonts w:ascii="Times New Roman" w:hAnsi="Times New Roman"/>
          <w:b w:val="false"/>
          <w:i w:val="false"/>
          <w:color w:val="000000"/>
          <w:sz w:val="22"/>
        </w:rPr>
        <w:t xml:space="preserve"> If “issue by” DoDAAC is SPM7M1 or SPE7M1, use SP7001.</w:t>
      </w:r>
    </w:p>
    <w:p>
      <w:pPr>
        <w:pBdr>
          <w:top w:space="5"/>
          <w:left w:space="5"/>
          <w:bottom w:space="5"/>
          <w:right w:space="5"/>
        </w:pBdr>
        <w:spacing w:after="0"/>
        <w:ind w:left="2385"/>
        <w:jc w:val="left"/>
      </w:pPr>
      <w:r>
        <w:rPr>
          <w:rFonts w:ascii="Times New Roman" w:hAnsi="Times New Roman"/>
          <w:b w:val="false"/>
          <w:i/>
          <w:color w:val="000000"/>
          <w:sz w:val="22"/>
        </w:rPr>
        <w:t>(viii)</w:t>
      </w:r>
      <w:r>
        <w:rPr>
          <w:rFonts w:ascii="Times New Roman" w:hAnsi="Times New Roman"/>
          <w:b w:val="false"/>
          <w:i w:val="false"/>
          <w:color w:val="000000"/>
          <w:sz w:val="22"/>
        </w:rPr>
        <w:t xml:space="preserve"> If “issue by” DoDAAC is SPM8 or SPE8, use SP8001.</w:t>
      </w:r>
    </w:p>
    <w:p>
      <w:pPr>
        <w:pBdr>
          <w:top w:space="5"/>
          <w:left w:space="5"/>
          <w:bottom w:space="5"/>
          <w:right w:space="5"/>
        </w:pBdr>
        <w:spacing w:after="0"/>
        <w:ind w:left="1305"/>
        <w:jc w:val="left"/>
      </w:pPr>
      <w:r>
        <w:rPr>
          <w:rFonts w:ascii="Times New Roman" w:hAnsi="Times New Roman"/>
          <w:b w:val="false"/>
          <w:i w:val="false"/>
          <w:color w:val="000000"/>
          <w:sz w:val="22"/>
        </w:rPr>
        <w:t>(B) Financial customer liaison (FCL) and supply chain responsibilities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customer is still required to submit the material receipt acknowledgement (MRA), and supply chains shall continue to ensure that follow up action is taken by appropriate personnel to obtain the MRA from the customer when it is not provided.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