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**ID__DLAD_33_212__ID**</w:t>
      </w:r>
    </w:p>
    <w:p>
      <w:pPr>
        <w:pStyle w:val="Heading3"/>
        <w:spacing w:after="199"/>
        <w:ind w:left="120"/>
        <w:jc w:val="left"/>
      </w:pPr>
      <w:r>
        <w:rPr>
          <w:rFonts w:ascii="Times New Roman" w:hAnsi="Times New Roman"/>
          <w:color w:val="000000"/>
          <w:sz w:val="31"/>
        </w:rPr>
        <w:t>33.212</w:t>
      </w:r>
      <w:r>
        <w:rPr>
          <w:rFonts w:ascii="Times New Roman" w:hAnsi="Times New Roman"/>
          <w:color w:val="000000"/>
          <w:sz w:val="31"/>
        </w:rPr>
        <w:t xml:space="preserve"> Contracting officer’s duties upon appeal.</w:t>
      </w:r>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