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**ID__DLAD_PART_37__ID**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37</w:t>
      </w:r>
      <w:r>
        <w:rPr>
          <w:rFonts w:ascii="Times New Roman" w:hAnsi="Times New Roman"/>
          <w:color w:val="000000"/>
        </w:rPr>
        <w:t xml:space="preserve"> – SERVICE CONTRACTING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37.1 – SERVICE CONTRACTS –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37.102 Policy.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37.103 Contracting officer responsibility.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37.110 Solicitation provisions and contract clauses.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37.2 – ADVISORY AND ASSISTANCE SERVICES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37.270 Acquisition of audit services.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37.1.dita#DLAD_SUBPART_37_1" Type="http://schemas.openxmlformats.org/officeDocument/2006/relationships/hyperlink" Id="rId4"/>
    <Relationship TargetMode="External" Target="37.102.dita#DLAD_37_102" Type="http://schemas.openxmlformats.org/officeDocument/2006/relationships/hyperlink" Id="rId5"/>
    <Relationship TargetMode="External" Target="37.103.dita#DLAD_37_103" Type="http://schemas.openxmlformats.org/officeDocument/2006/relationships/hyperlink" Id="rId6"/>
    <Relationship TargetMode="External" Target="37.110.dita#DLAD_37_110" Type="http://schemas.openxmlformats.org/officeDocument/2006/relationships/hyperlink" Id="rId7"/>
    <Relationship TargetMode="External" Target="SUBPART_37.2.dita#DLAD_SUBPART_37_2" Type="http://schemas.openxmlformats.org/officeDocument/2006/relationships/hyperlink" Id="rId8"/>
    <Relationship TargetMode="External" Target="37.270.dita#DLAD_37_270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