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**ID__DLAD_37_102__ID**</w:t>
      </w:r>
    </w:p>
    <w:p>
      <w:pPr>
        <w:pStyle w:val="Heading3"/>
        <w:spacing w:after="199"/>
        <w:ind w:left="120"/>
        <w:jc w:val="left"/>
      </w:pPr>
      <w:r>
        <w:rPr>
          <w:rFonts w:ascii="Times New Roman" w:hAnsi="Times New Roman"/>
          <w:color w:val="000000"/>
          <w:sz w:val="31"/>
        </w:rPr>
        <w:t>37.102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pPr>
        <w:pStyle w:val="Normal"/>
        <w:pBdr>
          <w:top w:space="5"/>
          <w:left w:space="5"/>
          <w:bottom w:space="5"/>
          <w:right w:space="5"/>
        </w:pBdr>
        <w:spacing w:after="0"/>
        <w:ind w:left="225"/>
        <w:jc w:val="left"/>
      </w:pPr>
      <w:r>
        <w:rPr>
          <w:rFonts w:ascii="Times New Roman" w:hAnsi="Times New Roman"/>
          <w:color w:val="000000"/>
        </w:rPr>
        <w:t>Electronics/Communications Services (ECS), DLA Information Operations Deputy Director</w:t>
      </w:r>
    </w:p>
    <w:p>
      <w:pPr>
        <w:pStyle w:val="Normal"/>
        <w:pBdr>
          <w:top w:space="5"/>
          <w:left w:space="5"/>
          <w:bottom w:space="5"/>
          <w:right w:space="5"/>
        </w:pBdr>
        <w:spacing w:after="0"/>
        <w:ind w:left="225"/>
        <w:jc w:val="left"/>
      </w:pPr>
      <w:r>
        <w:rPr>
          <w:rFonts w:ascii="Times New Roman" w:hAnsi="Times New Roman"/>
          <w:color w:val="000000"/>
        </w:rPr>
        <w:t>Facilities Related Services (FRS), DLA Chief of Staff (CoS)</w:t>
      </w:r>
    </w:p>
    <w:p>
      <w:pPr>
        <w:pStyle w:val="Normal"/>
        <w:pBdr>
          <w:top w:space="5"/>
          <w:left w:space="5"/>
          <w:bottom w:space="5"/>
          <w:right w:space="5"/>
        </w:pBdr>
        <w:spacing w:after="0"/>
        <w:ind w:left="225"/>
        <w:jc w:val="left"/>
      </w:pPr>
      <w:r>
        <w:rPr>
          <w:rFonts w:ascii="Times New Roman" w:hAnsi="Times New Roman"/>
          <w:color w:val="000000"/>
        </w:rPr>
        <w:t>Knowledge Based Services (KBS), DLA Information Operations Program Execution Officer (PEO)</w:t>
      </w:r>
    </w:p>
    <w:p>
      <w:pPr>
        <w:pStyle w:val="Normal"/>
        <w:pBdr>
          <w:top w:space="5"/>
          <w:left w:space="5"/>
          <w:bottom w:space="5"/>
          <w:right w:space="5"/>
        </w:pBdr>
        <w:spacing w:after="0"/>
        <w:ind w:left="225"/>
        <w:jc w:val="left"/>
      </w:pPr>
      <w:r>
        <w:rPr>
          <w:rFonts w:ascii="Times New Roman" w:hAnsi="Times New Roman"/>
          <w:color w:val="000000"/>
        </w:rPr>
        <w:t>Medical Services (MS), DLA CoS</w:t>
      </w:r>
    </w:p>
    <w:p>
      <w:pPr>
        <w:pStyle w:val="Normal"/>
        <w:pBdr>
          <w:top w:space="5"/>
          <w:left w:space="5"/>
          <w:bottom w:space="5"/>
          <w:right w:space="5"/>
        </w:pBdr>
        <w:spacing w:after="0"/>
        <w:ind w:left="225"/>
        <w:jc w:val="left"/>
      </w:pPr>
      <w:r>
        <w:rPr>
          <w:rFonts w:ascii="Times New Roman" w:hAnsi="Times New Roman"/>
          <w:color w:val="000000"/>
        </w:rPr>
        <w:t>Equipment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Transportation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Logistics Management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These portfolios comprise the vast majority of all DLA acquisitions of services. The SSM shall serve as the CLL for acquisition of services that fall outside the scope of the above designations.</w:t>
      </w:r>
    </w:p>
    <w:p>
      <w:pPr>
        <w:pStyle w:val="Normal"/>
        <w:pBdr>
          <w:top w:space="5"/>
          <w:left w:space="5"/>
          <w:bottom w:space="5"/>
          <w:right w:space="5"/>
        </w:pBdr>
        <w:spacing w:after="0"/>
        <w:ind w:left="225"/>
        <w:jc w:val="left"/>
      </w:pPr>
      <w:r>
        <w:rPr>
          <w:rFonts w:ascii="Times New Roman" w:hAnsi="Times New Roman"/>
          <w:color w:val="000000"/>
        </w:rPr>
        <w:t>Acquisition strategy for service requirements shall maximize opportunity for small business.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