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**ID__DLAD_39_201__ID**</w:t>
      </w:r>
    </w:p>
    <w:p>
      <w:pPr>
        <w:pStyle w:val="Heading3"/>
        <w:spacing w:after="199"/>
        <w:ind w:left="120"/>
        <w:jc w:val="left"/>
      </w:pPr>
      <w:r>
        <w:rPr>
          <w:rFonts w:ascii="Times New Roman" w:hAnsi="Times New Roman"/>
          <w:color w:val="000000"/>
          <w:sz w:val="31"/>
        </w:rPr>
        <w:t>39.201</w:t>
      </w:r>
      <w:r>
        <w:rPr>
          <w:rFonts w:ascii="Times New Roman" w:hAnsi="Times New Roman"/>
          <w:color w:val="000000"/>
          <w:sz w:val="31"/>
        </w:rPr>
        <w:t xml:space="preserve"> Scope of subpart.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section508.gov/" Type="http://schemas.openxmlformats.org/officeDocument/2006/relationships/hyperlink" Id="rId4"/>
    <Relationship TargetMode="External" Target="https://www.section508.gov/" Type="http://schemas.openxmlformats.org/officeDocument/2006/relationships/hyperlink" Id="rId5"/>
    <Relationship TargetMode="External" Target="https://www.section508.gov/" Type="http://schemas.openxmlformats.org/officeDocument/2006/relationships/hyperlink" Id="rId6"/>
    <Relationship TargetMode="External" Target="https://www.section508.gov/"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