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**ID__DLAD_39_203__ID**</w:t>
      </w:r>
    </w:p>
    <w:p>
      <w:pPr>
        <w:pStyle w:val="Heading3"/>
        <w:spacing w:after="199"/>
        <w:ind w:left="120"/>
        <w:jc w:val="left"/>
      </w:pPr>
      <w:r>
        <w:rPr>
          <w:rFonts w:ascii="Times New Roman" w:hAnsi="Times New Roman"/>
          <w:color w:val="000000"/>
          <w:sz w:val="31"/>
        </w:rPr>
        <w:t>39.203</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itic.org/policy/accessibility/vpat" Type="http://schemas.openxmlformats.org/officeDocument/2006/relationships/hyperlink" Id="rId4"/>
    <Relationship TargetMode="External" Target="https://www.itic.org/policy/accessibility/vpat"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