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**ID__DLAD_39_9001__ID**</w:t>
      </w:r>
    </w:p>
    <w:p>
      <w:pPr>
        <w:pStyle w:val="Heading3"/>
        <w:spacing w:after="199"/>
        <w:ind w:left="120"/>
        <w:jc w:val="left"/>
      </w:pPr>
      <w:r>
        <w:rPr>
          <w:rFonts w:ascii="Times New Roman" w:hAnsi="Times New Roman"/>
          <w:color w:val="000000"/>
          <w:sz w:val="31"/>
        </w:rPr>
        <w:t>39.9001</w:t>
      </w:r>
      <w:r>
        <w:rPr>
          <w:rFonts w:ascii="Times New Roman" w:hAnsi="Times New Roman"/>
          <w:color w:val="000000"/>
          <w:sz w:val="31"/>
        </w:rPr>
        <w:t xml:space="preserve"> Procedures for IT procurement.</w:t>
      </w:r>
    </w:p>
    <w:p>
      <w:pPr>
        <w:pBdr>
          <w:top w:space="5"/>
          <w:left w:space="5"/>
          <w:bottom w:space="5"/>
          <w:right w:space="5"/>
        </w:pBdr>
        <w:spacing w:after="0"/>
        <w:ind w:left="225"/>
        <w:jc w:val="left"/>
      </w:pPr>
      <w:r>
        <w:rPr>
          <w:rFonts w:ascii="Times New Roman" w:hAnsi="Times New Roman"/>
          <w:b w:val="false"/>
          <w:i w:val="false"/>
          <w:color w:val="000000"/>
          <w:sz w:val="22"/>
        </w:rPr>
        <w:t>(a) The requiring activity shall coordinate all mid-tier requirements with DLA Information Operations,</w:t>
      </w:r>
      <w:r>
        <w:rPr>
          <w:rFonts w:ascii="Times New Roman" w:hAnsi="Times New Roman"/>
          <w:b w:val="false"/>
          <w:i w:val="false"/>
          <w:color w:val="000000"/>
          <w:sz w:val="22"/>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pPr>
        <w:pBdr>
          <w:top w:space="5"/>
          <w:left w:space="5"/>
          <w:bottom w:space="5"/>
          <w:right w:space="5"/>
        </w:pBdr>
        <w:spacing w:after="0"/>
        <w:ind w:left="225"/>
        <w:jc w:val="left"/>
      </w:pPr>
      <w:r>
        <w:rPr>
          <w:rFonts w:ascii="Times New Roman" w:hAnsi="Times New Roman"/>
          <w:b w:val="false"/>
          <w:i w:val="false"/>
          <w:color w:val="000000"/>
          <w:sz w:val="22"/>
        </w:rPr>
        <w:t>(b) DLA Contracting Services Office (DCSO) is the single DLA procuring organization 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pPr>
        <w:pBdr>
          <w:top w:space="5"/>
          <w:left w:space="5"/>
          <w:bottom w:space="5"/>
          <w:right w:space="5"/>
        </w:pBdr>
        <w:spacing w:after="0"/>
        <w:ind w:left="225"/>
        <w:jc w:val="left"/>
      </w:pPr>
      <w:r>
        <w:rPr>
          <w:rFonts w:ascii="Times New Roman" w:hAnsi="Times New Roman"/>
          <w:b w:val="false"/>
          <w:i w:val="false"/>
          <w:color w:val="000000"/>
          <w:sz w:val="22"/>
        </w:rPr>
        <w:t>(c) DCSO is responsible for acquiring IT services, supplies, equipment, training, and subscriptions for DLA. Non-DCSO procuring organizations may award contracts or orders for IT if the total value of the contract or order (including options) does not exceed $500,000.</w:t>
      </w:r>
    </w:p>
    <w:p>
      <w:pPr>
        <w:pBdr>
          <w:top w:space="5"/>
          <w:left w:space="5"/>
          <w:bottom w:space="5"/>
          <w:right w:space="5"/>
        </w:pBdr>
        <w:spacing w:after="0"/>
        <w:ind w:left="225"/>
        <w:jc w:val="left"/>
      </w:pPr>
      <w:r>
        <w:rPr>
          <w:rFonts w:ascii="Times New Roman" w:hAnsi="Times New Roman"/>
          <w:b w:val="false"/>
          <w:i w:val="false"/>
          <w:color w:val="000000"/>
          <w:sz w:val="22"/>
        </w:rPr>
        <w:t>(d) DCSO shall procure requirements with a value exceeding $500,000, unless the DCSO CCO approves a request for procurement authority from a non-DCSO procuring organization. Non-DCSO procuring organizations shall submit requests in writing to the DCSO CCO.</w:t>
      </w:r>
    </w:p>
    <w:p>
      <w:pPr>
        <w:pBdr>
          <w:top w:space="5"/>
          <w:left w:space="5"/>
          <w:bottom w:space="5"/>
          <w:right w:space="5"/>
        </w:pBdr>
        <w:spacing w:after="0"/>
        <w:ind w:left="225"/>
        <w:jc w:val="left"/>
      </w:pPr>
      <w:r>
        <w:rPr>
          <w:rFonts w:ascii="Times New Roman" w:hAnsi="Times New Roman"/>
          <w:b w:val="false"/>
          <w:i w:val="false"/>
          <w:color w:val="000000"/>
          <w:sz w:val="22"/>
        </w:rPr>
        <w:t>(e) Unless submitted through DCSO and authorized in writing by the DLA CIO, all DLA IT procurements shall use Defense Information Systems Agency defense enterprise integration services contracts.</w:t>
      </w:r>
    </w:p>
    <w:p>
      <w:pPr>
        <w:pBdr>
          <w:top w:space="5"/>
          <w:left w:space="5"/>
          <w:bottom w:space="5"/>
          <w:right w:space="5"/>
        </w:pBdr>
        <w:spacing w:after="0"/>
        <w:ind w:left="225"/>
        <w:jc w:val="left"/>
      </w:pPr>
      <w:r>
        <w:rPr>
          <w:rFonts w:ascii="Times New Roman" w:hAnsi="Times New Roman"/>
          <w:b w:val="false"/>
          <w:i w:val="false"/>
          <w:color w:val="000000"/>
          <w:sz w:val="22"/>
        </w:rPr>
        <w:t>(f) The DLA CIO shall staff all requirements to be acquired using the GSA federal systems integration and management program through the DCSO for informational purposes and investment accountability.</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shall comply with 4.1302 when acquiring personal identity verification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(h) Prior to acquiring commercial software or software maintenance, the contracting officer shall review DFARS Subparts 208.74 and 227.72,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p>
    <w:p>
      <w:pPr>
        <w:pBdr>
          <w:top w:space="5"/>
          <w:left w:space="5"/>
          <w:bottom w:space="5"/>
          <w:right w:space="5"/>
        </w:pBdr>
        <w:spacing w:after="0"/>
        <w:ind w:left="225"/>
        <w:jc w:val="left"/>
      </w:pPr>
      <w:r>
        <w:rPr>
          <w:rFonts w:ascii="Times New Roman" w:hAnsi="Times New Roman"/>
          <w:b w:val="false"/>
          <w:i w:val="false"/>
          <w:color w:val="000000"/>
          <w:sz w:val="22"/>
        </w:rPr>
        <w:t>(i) The contracting officer shall coordinate any requirements for contractors to develop, store, process, display, or transmit information that is used in any DLA business process with DLA Information Operations in the acquisition planning stage.</w:t>
      </w:r>
    </w:p>
    <w:p>
      <w:pPr>
        <w:pBdr>
          <w:top w:space="5"/>
          <w:left w:space="5"/>
          <w:bottom w:space="5"/>
          <w:right w:space="5"/>
        </w:pBdr>
        <w:spacing w:after="0"/>
        <w:ind w:left="225"/>
        <w:jc w:val="left"/>
      </w:pPr>
      <w:r>
        <w:rPr>
          <w:rFonts w:ascii="Times New Roman" w:hAnsi="Times New Roman"/>
          <w:b w:val="false"/>
          <w:i w:val="false"/>
          <w:color w:val="000000"/>
          <w:sz w:val="22"/>
        </w:rPr>
        <w:t>(j) The contracting officer shall consult the DLA Information Technology Solutions Document in DLA eWorkplace under DLA Information Operations to ensure that there are no existing IT solutions that can meet the acquisition requirement.</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compliance with all procurement requirements when using sources listed in the DLA Information Technology Solutions Document. Contracting officers shall consider the competitive process (reference FAR 6.1), and sole source and limited source justifications (reference FAR Subpart 6.3 and FAR 8.405-6), including brand name situations, economies of scale, and scope of the listed sources.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contact DLA Information Operations to request the addition of a new solution to the document.</w:t>
      </w:r>
    </w:p>
    <w:p>
      <w:pPr>
        <w:pBdr>
          <w:top w:space="5"/>
          <w:left w:space="5"/>
          <w:bottom w:space="5"/>
          <w:right w:space="5"/>
        </w:pBdr>
        <w:spacing w:after="0"/>
        <w:ind w:left="225"/>
        <w:jc w:val="left"/>
      </w:pPr>
      <w:r>
        <w:rPr>
          <w:rFonts w:ascii="Times New Roman" w:hAnsi="Times New Roman"/>
          <w:b w:val="false"/>
          <w:i w:val="false"/>
          <w:color w:val="000000"/>
          <w:sz w:val="22"/>
        </w:rPr>
        <w:t>(k) For telecommunications equipment and services: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capital investment funding is used for capital investment requirements valued $250,000 or greater.</w:t>
      </w:r>
      <w:r>
        <w:rPr>
          <w:rFonts w:ascii="Times New Roman" w:hAnsi="Times New Roman"/>
          <w:b w:val="false"/>
          <w:i w:val="false"/>
          <w:color w:val="000000"/>
          <w:sz w:val="22"/>
        </w:rPr>
        <w:t>Contracting officers shall coordinate questions concerning the appropriate type of funding with DLA Finance and Office of Counsel.</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sign Communication Services Authorities or other communications services orders or agreements.</w:t>
      </w:r>
    </w:p>
    <w:p>
      <w:pPr>
        <w:pBdr>
          <w:top w:space="5"/>
          <w:left w:space="5"/>
          <w:bottom w:space="5"/>
          <w:right w:space="5"/>
        </w:pBdr>
        <w:spacing w:after="0"/>
        <w:ind w:left="225"/>
        <w:jc w:val="left"/>
      </w:pPr>
      <w:r>
        <w:rPr>
          <w:rFonts w:ascii="Times New Roman" w:hAnsi="Times New Roman"/>
          <w:b w:val="false"/>
          <w:i w:val="false"/>
          <w:color w:val="000000"/>
          <w:sz w:val="22"/>
        </w:rPr>
        <w:t>(l) Internal Use Software (IUS).</w:t>
      </w:r>
    </w:p>
    <w:p>
      <w:pPr>
        <w:pBdr>
          <w:top w:space="5"/>
          <w:left w:space="5"/>
          <w:bottom w:space="5"/>
          <w:right w:space="5"/>
        </w:pBdr>
        <w:spacing w:after="0"/>
        <w:ind w:left="585"/>
        <w:jc w:val="left"/>
      </w:pPr>
      <w:r>
        <w:rPr>
          <w:rFonts w:ascii="Times New Roman" w:hAnsi="Times New Roman"/>
          <w:b w:val="false"/>
          <w:i w:val="false"/>
          <w:color w:val="000000"/>
          <w:sz w:val="22"/>
        </w:rPr>
        <w:t>(1) As defined in Statement of Federal Financial Accounting Standards (SFFAS) Number 10, Accounting for IUS, IUS is software used to operate a federal entity’s programs (e.g., financial, administrative, and project management software) and to produce the entity’s goods and services. DLAM 5000.76, Accountability of Capital Internal Use Software (IUS) contains IUS procedures.</w:t>
      </w:r>
    </w:p>
    <w:p>
      <w:pPr>
        <w:pBdr>
          <w:top w:space="5"/>
          <w:left w:space="5"/>
          <w:bottom w:space="5"/>
          <w:right w:space="5"/>
        </w:pBdr>
        <w:spacing w:after="0"/>
        <w:ind w:left="585"/>
        <w:jc w:val="left"/>
      </w:pPr>
      <w:r>
        <w:rPr>
          <w:rFonts w:ascii="Times New Roman" w:hAnsi="Times New Roman"/>
          <w:b w:val="false"/>
          <w:i w:val="false"/>
          <w:color w:val="000000"/>
          <w:sz w:val="22"/>
        </w:rPr>
        <w:t>(2) Requiring activity program managers (PMs) shall—</w:t>
      </w:r>
    </w:p>
    <w:p>
      <w:pPr>
        <w:pBdr>
          <w:top w:space="5"/>
          <w:left w:space="5"/>
          <w:bottom w:space="5"/>
          <w:right w:space="5"/>
        </w:pBdr>
        <w:spacing w:after="0"/>
        <w:ind w:left="945"/>
        <w:jc w:val="left"/>
      </w:pPr>
      <w:r>
        <w:rPr>
          <w:rFonts w:ascii="Times New Roman" w:hAnsi="Times New Roman"/>
          <w:b w:val="false"/>
          <w:i w:val="false"/>
          <w:color w:val="000000"/>
          <w:sz w:val="22"/>
        </w:rPr>
        <w:t>(i) Determine whether to classify a software procurement as IUS.</w:t>
      </w:r>
    </w:p>
    <w:p>
      <w:pPr>
        <w:pBdr>
          <w:top w:space="5"/>
          <w:left w:space="5"/>
          <w:bottom w:space="5"/>
          <w:right w:space="5"/>
        </w:pBdr>
        <w:spacing w:after="0"/>
        <w:ind w:left="945"/>
        <w:jc w:val="left"/>
      </w:pPr>
      <w:r>
        <w:rPr>
          <w:rFonts w:ascii="Times New Roman" w:hAnsi="Times New Roman"/>
          <w:b w:val="false"/>
          <w:i w:val="false"/>
          <w:color w:val="000000"/>
          <w:sz w:val="22"/>
        </w:rPr>
        <w:t>(ii) Structure software requirement deliverables in accordance with the IUS number structure guidelines stated in the IUS SOP.</w:t>
      </w:r>
    </w:p>
    <w:p>
      <w:pPr>
        <w:pBdr>
          <w:top w:space="5"/>
          <w:left w:space="5"/>
          <w:bottom w:space="5"/>
          <w:right w:space="5"/>
        </w:pBdr>
        <w:spacing w:after="0"/>
        <w:ind w:left="945"/>
        <w:jc w:val="left"/>
      </w:pPr>
      <w:r>
        <w:rPr>
          <w:rFonts w:ascii="Times New Roman" w:hAnsi="Times New Roman"/>
          <w:b w:val="false"/>
          <w:i w:val="false"/>
          <w:color w:val="000000"/>
          <w:sz w:val="22"/>
        </w:rPr>
        <w:t>(iii) State in the SOO, SOW, or PWS the IUS item that corresponds to the tasks required, which will be confirmed by the offeror in its proposal.</w:t>
      </w:r>
    </w:p>
    <w:p>
      <w:pPr>
        <w:pBdr>
          <w:top w:space="5"/>
          <w:left w:space="5"/>
          <w:bottom w:space="5"/>
          <w:right w:space="5"/>
        </w:pBdr>
        <w:spacing w:after="0"/>
        <w:ind w:left="945"/>
        <w:jc w:val="left"/>
      </w:pPr>
      <w:r>
        <w:rPr>
          <w:rFonts w:ascii="Times New Roman" w:hAnsi="Times New Roman"/>
          <w:b w:val="false"/>
          <w:i w:val="false"/>
          <w:color w:val="000000"/>
          <w:sz w:val="22"/>
        </w:rPr>
        <w:t>(iv) Prepare the IUS acknowledgement form.</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w:t>
      </w:r>
    </w:p>
    <w:p>
      <w:pPr>
        <w:pBdr>
          <w:top w:space="5"/>
          <w:left w:space="5"/>
          <w:bottom w:space="5"/>
          <w:right w:space="5"/>
        </w:pBdr>
        <w:spacing w:after="0"/>
        <w:ind w:left="945"/>
        <w:jc w:val="left"/>
      </w:pPr>
      <w:r>
        <w:rPr>
          <w:rFonts w:ascii="Times New Roman" w:hAnsi="Times New Roman"/>
          <w:b w:val="false"/>
          <w:i w:val="false"/>
          <w:color w:val="000000"/>
          <w:sz w:val="22"/>
        </w:rPr>
        <w:t>(i) Acknowledge that the IUS information was inserted into the SOO, SOW, PWS in accordance with the IUS SOP.</w:t>
      </w:r>
    </w:p>
    <w:p>
      <w:pPr>
        <w:pBdr>
          <w:top w:space="5"/>
          <w:left w:space="5"/>
          <w:bottom w:space="5"/>
          <w:right w:space="5"/>
        </w:pBdr>
        <w:spacing w:after="0"/>
        <w:ind w:left="945"/>
        <w:jc w:val="left"/>
      </w:pPr>
      <w:r>
        <w:rPr>
          <w:rFonts w:ascii="Times New Roman" w:hAnsi="Times New Roman"/>
          <w:b w:val="false"/>
          <w:i w:val="false"/>
          <w:color w:val="000000"/>
          <w:sz w:val="22"/>
        </w:rPr>
        <w:t>(ii) Sign the IUS acknowledgement and place it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(iii) Ensure contractors submit invoices in accordance with the IUS number structure. The contracting officer may delegate this responsibility to the contracting officer representatives (COR).</w:t>
      </w:r>
    </w:p>
    <w:p>
      <w:pPr>
        <w:pBdr>
          <w:top w:space="5"/>
          <w:left w:space="5"/>
          <w:bottom w:space="5"/>
          <w:right w:space="5"/>
        </w:pBdr>
        <w:spacing w:after="0"/>
        <w:ind w:left="945"/>
        <w:jc w:val="left"/>
      </w:pPr>
      <w:r>
        <w:rPr>
          <w:rFonts w:ascii="Times New Roman" w:hAnsi="Times New Roman"/>
          <w:b w:val="false"/>
          <w:i w:val="false"/>
          <w:color w:val="000000"/>
          <w:sz w:val="22"/>
        </w:rPr>
        <w:t>(iv) Ensure that CORs accept contractor deliverables and invoices consistent with invoiced IUS number structure.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