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**ID__DLAD_39_9002__ID**</w:t>
      </w:r>
    </w:p>
    <w:p>
      <w:pPr>
        <w:pStyle w:val="Heading3"/>
        <w:spacing w:after="199"/>
        <w:ind w:left="120"/>
        <w:jc w:val="left"/>
      </w:pPr>
      <w:r>
        <w:rPr>
          <w:rFonts w:ascii="Times New Roman" w:hAnsi="Times New Roman"/>
          <w:color w:val="000000"/>
          <w:sz w:val="31"/>
        </w:rPr>
        <w:t>39.9002</w:t>
      </w:r>
      <w:r>
        <w:rPr>
          <w:rFonts w:ascii="Times New Roman" w:hAnsi="Times New Roman"/>
          <w:color w:val="000000"/>
          <w:sz w:val="31"/>
        </w:rPr>
        <w:t xml:space="preserve"> Documentation requirements for IT procurement.</w:t>
      </w:r>
    </w:p>
    <w:p>
      <w:pPr>
        <w:pBdr>
          <w:top w:space="5"/>
          <w:left w:space="5"/>
          <w:bottom w:space="5"/>
          <w:right w:space="5"/>
        </w:pBdr>
        <w:spacing w:after="0"/>
        <w:ind w:left="225"/>
        <w:jc w:val="left"/>
      </w:pPr>
      <w:r>
        <w:rPr>
          <w:rFonts w:ascii="Times New Roman" w:hAnsi="Times New Roman"/>
          <w:b w:val="false"/>
          <w:i w:val="false"/>
          <w:color w:val="000000"/>
          <w:sz w:val="22"/>
        </w:rPr>
        <w:t>(a) The requiring activity shall include the following in the acquisition package sent to the contracting officer:</w:t>
      </w:r>
    </w:p>
    <w:p>
      <w:pPr>
        <w:pBdr>
          <w:top w:space="5"/>
          <w:left w:space="5"/>
          <w:bottom w:space="5"/>
          <w:right w:space="5"/>
        </w:pBdr>
        <w:spacing w:after="0"/>
        <w:ind w:left="585"/>
        <w:jc w:val="left"/>
      </w:pPr>
      <w:r>
        <w:rPr>
          <w:rFonts w:ascii="Times New Roman" w:hAnsi="Times New Roman"/>
          <w:b w:val="false"/>
          <w:i w:val="false"/>
          <w:color w:val="000000"/>
          <w:sz w:val="22"/>
        </w:rPr>
        <w:t>(1) A statement clearly describing why the IT is needed and the program, project, Automated Information System being supported by the IT procurement.</w:t>
      </w:r>
    </w:p>
    <w:p>
      <w:pPr>
        <w:pBdr>
          <w:top w:space="5"/>
          <w:left w:space="5"/>
          <w:bottom w:space="5"/>
          <w:right w:space="5"/>
        </w:pBdr>
        <w:spacing w:after="0"/>
        <w:ind w:left="585"/>
        <w:jc w:val="left"/>
      </w:pPr>
      <w:r>
        <w:rPr>
          <w:rFonts w:ascii="Times New Roman" w:hAnsi="Times New Roman"/>
          <w:b w:val="false"/>
          <w:i w:val="false"/>
          <w:color w:val="000000"/>
          <w:sz w:val="22"/>
        </w:rPr>
        <w:t>(2) A description of what is being acquired. Identify the product (including its intended purpose, if unclear from the product name), manufacturer, model number, version number, quantity, unit cost, and any other attributes, such as essential physical characteristics. For support services, include a SOO, SOW, or PWS, as applicable.</w:t>
      </w:r>
    </w:p>
    <w:p>
      <w:pPr>
        <w:pBdr>
          <w:top w:space="5"/>
          <w:left w:space="5"/>
          <w:bottom w:space="5"/>
          <w:right w:space="5"/>
        </w:pBdr>
        <w:spacing w:after="0"/>
        <w:ind w:left="585"/>
        <w:jc w:val="left"/>
      </w:pPr>
      <w:r>
        <w:rPr>
          <w:rFonts w:ascii="Times New Roman" w:hAnsi="Times New Roman"/>
          <w:b w:val="false"/>
          <w:i w:val="false"/>
          <w:color w:val="000000"/>
          <w:sz w:val="22"/>
        </w:rPr>
        <w:t>(3) The exact location where the IT items and services are needed and points of contact with commercial and DSN telephone numbers.</w:t>
      </w:r>
    </w:p>
    <w:p>
      <w:pPr>
        <w:pBdr>
          <w:top w:space="5"/>
          <w:left w:space="5"/>
          <w:bottom w:space="5"/>
          <w:right w:space="5"/>
        </w:pBdr>
        <w:spacing w:after="0"/>
        <w:ind w:left="585"/>
        <w:jc w:val="left"/>
      </w:pPr>
      <w:r>
        <w:rPr>
          <w:rFonts w:ascii="Times New Roman" w:hAnsi="Times New Roman"/>
          <w:b w:val="false"/>
          <w:i w:val="false"/>
          <w:color w:val="000000"/>
          <w:sz w:val="22"/>
        </w:rPr>
        <w:t>(4) A copy of the market survey for each recommended source (reference FAR Part 10).</w:t>
      </w:r>
    </w:p>
    <w:p>
      <w:pPr>
        <w:pBdr>
          <w:top w:space="5"/>
          <w:left w:space="5"/>
          <w:bottom w:space="5"/>
          <w:right w:space="5"/>
        </w:pBdr>
        <w:spacing w:after="0"/>
        <w:ind w:left="585"/>
        <w:jc w:val="left"/>
      </w:pPr>
      <w:r>
        <w:rPr>
          <w:rFonts w:ascii="Times New Roman" w:hAnsi="Times New Roman"/>
          <w:b w:val="false"/>
          <w:i w:val="false"/>
          <w:color w:val="000000"/>
          <w:sz w:val="22"/>
        </w:rPr>
        <w:t>(5) A copy of the funding documentation.</w:t>
      </w:r>
    </w:p>
    <w:p>
      <w:pPr>
        <w:pBdr>
          <w:top w:space="5"/>
          <w:left w:space="5"/>
          <w:bottom w:space="5"/>
          <w:right w:space="5"/>
        </w:pBdr>
        <w:spacing w:after="0"/>
        <w:ind w:left="585"/>
        <w:jc w:val="left"/>
      </w:pPr>
      <w:r>
        <w:rPr>
          <w:rFonts w:ascii="Times New Roman" w:hAnsi="Times New Roman"/>
          <w:b w:val="false"/>
          <w:i w:val="false"/>
          <w:color w:val="000000"/>
          <w:sz w:val="22"/>
        </w:rPr>
        <w:t>(6) For sole source (e.g., only one source, specific make or model, or compatibility-limited), documentation to support a justification for other than full and open competition or limited source justification (reference FAR 6.3 and 8.405-6) and brand name situations (reference FAR 11.105).</w:t>
      </w:r>
    </w:p>
    <w:p>
      <w:pPr>
        <w:pBdr>
          <w:top w:space="5"/>
          <w:left w:space="5"/>
          <w:bottom w:space="5"/>
          <w:right w:space="5"/>
        </w:pBdr>
        <w:spacing w:after="0"/>
        <w:ind w:left="585"/>
        <w:jc w:val="left"/>
      </w:pPr>
      <w:r>
        <w:rPr>
          <w:rFonts w:ascii="Times New Roman" w:hAnsi="Times New Roman"/>
          <w:b w:val="false"/>
          <w:i w:val="false"/>
          <w:color w:val="000000"/>
          <w:sz w:val="22"/>
        </w:rPr>
        <w:t>(7) Copies of any additional information and support documentation necessary.</w:t>
      </w:r>
    </w:p>
    <w:p>
      <w:pPr>
        <w:pBdr>
          <w:top w:space="5"/>
          <w:left w:space="5"/>
          <w:bottom w:space="5"/>
          <w:right w:space="5"/>
        </w:pBdr>
        <w:spacing w:after="0"/>
        <w:ind w:left="225"/>
        <w:jc w:val="left"/>
      </w:pPr>
      <w:r>
        <w:rPr>
          <w:rFonts w:ascii="Times New Roman" w:hAnsi="Times New Roman"/>
          <w:b w:val="false"/>
          <w:i w:val="false"/>
          <w:color w:val="000000"/>
          <w:sz w:val="22"/>
        </w:rPr>
        <w:t>(b) The requiring activity shall—</w:t>
      </w:r>
    </w:p>
    <w:p>
      <w:pPr>
        <w:pBdr>
          <w:top w:space="5"/>
          <w:left w:space="5"/>
          <w:bottom w:space="5"/>
          <w:right w:space="5"/>
        </w:pBdr>
        <w:spacing w:after="0"/>
        <w:ind w:left="585"/>
        <w:jc w:val="left"/>
      </w:pPr>
      <w:r>
        <w:rPr>
          <w:rFonts w:ascii="Times New Roman" w:hAnsi="Times New Roman"/>
          <w:b w:val="false"/>
          <w:i w:val="false"/>
          <w:color w:val="000000"/>
          <w:sz w:val="22"/>
        </w:rPr>
        <w:t>(1) Prepare additional documentation or Business Case Analysis (BCA) as part of the contract file for an acquisition as needed.</w:t>
      </w:r>
    </w:p>
    <w:p>
      <w:pPr>
        <w:pBdr>
          <w:top w:space="5"/>
          <w:left w:space="5"/>
          <w:bottom w:space="5"/>
          <w:right w:space="5"/>
        </w:pBdr>
        <w:spacing w:after="0"/>
        <w:ind w:left="585"/>
        <w:jc w:val="left"/>
      </w:pPr>
      <w:r>
        <w:rPr>
          <w:rFonts w:ascii="Times New Roman" w:hAnsi="Times New Roman"/>
          <w:b w:val="false"/>
          <w:i w:val="false"/>
          <w:color w:val="000000"/>
          <w:sz w:val="22"/>
        </w:rPr>
        <w:t>(2) Submit acquisitions valued below $50,000 in accordance with local procedures, or as appropriate for the complexity of the requirement.</w:t>
      </w:r>
    </w:p>
    <w:p>
      <w:pPr>
        <w:pBdr>
          <w:top w:space="5"/>
          <w:left w:space="5"/>
          <w:bottom w:space="5"/>
          <w:right w:space="5"/>
        </w:pBdr>
        <w:spacing w:after="0"/>
        <w:ind w:left="585"/>
        <w:jc w:val="left"/>
      </w:pPr>
      <w:r>
        <w:rPr>
          <w:rFonts w:ascii="Times New Roman" w:hAnsi="Times New Roman"/>
          <w:b w:val="false"/>
          <w:i w:val="false"/>
          <w:color w:val="000000"/>
          <w:sz w:val="22"/>
        </w:rPr>
        <w:t>(3) Outline and compare the status quo method of business with three alternatives for acquisitions greater than or equal to $50,000 and less than $250,000.</w:t>
      </w:r>
    </w:p>
    <w:p>
      <w:pPr>
        <w:pBdr>
          <w:top w:space="5"/>
          <w:left w:space="5"/>
          <w:bottom w:space="5"/>
          <w:right w:space="5"/>
        </w:pBdr>
        <w:spacing w:after="0"/>
        <w:ind w:left="585"/>
        <w:jc w:val="left"/>
      </w:pPr>
      <w:r>
        <w:rPr>
          <w:rFonts w:ascii="Times New Roman" w:hAnsi="Times New Roman"/>
          <w:b w:val="false"/>
          <w:i w:val="false"/>
          <w:color w:val="000000"/>
          <w:sz w:val="22"/>
        </w:rPr>
        <w:t>(4) In addition to the requirements of (b)(2) above, provide a comparison of expected costs, benefits, impacts, and risks that would result from implementing alternative IT investments for acquisitions greater than or equal to $250,000 and less than $1,000,000.</w:t>
      </w:r>
    </w:p>
    <w:p>
      <w:pPr>
        <w:pBdr>
          <w:top w:space="5"/>
          <w:left w:space="5"/>
          <w:bottom w:space="5"/>
          <w:right w:space="5"/>
        </w:pBdr>
        <w:spacing w:after="0"/>
        <w:ind w:left="585"/>
        <w:jc w:val="left"/>
      </w:pPr>
      <w:r>
        <w:rPr>
          <w:rFonts w:ascii="Times New Roman" w:hAnsi="Times New Roman"/>
          <w:b w:val="false"/>
          <w:i w:val="false"/>
          <w:color w:val="000000"/>
          <w:sz w:val="22"/>
        </w:rPr>
        <w:t>(5) In addition to the requirements of (b)(2) and (b)(3) above, conduct a more in-depth analysis for acquisitions greater than or equal to $1,000,000 or having a significant impact on DoD logistics operations. The analysis shall include a study of the impact on DLA as a whole, as well as the quantitative and qualitative ramifications of the alternatives described within the investment; and consider the broad implications of the implementation of each alternative, including local and global implications, as well as immediate and future costs and savings.</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