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**ID__DLAD_42_101__ID**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42.101</w:t>
      </w:r>
      <w:r>
        <w:rPr>
          <w:rFonts w:ascii="Times New Roman" w:hAnsi="Times New Roman"/>
          <w:color w:val="000000"/>
          <w:sz w:val="31"/>
        </w:rPr>
        <w:t xml:space="preserve"> Contract audit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 and Pricing Compliance Division Chief is the designee to oversee contract audit follow-up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DoDI 7640.02, Policy for Follow-Up on Contract Audit Reports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https://www.esd.whs.mil/Portals/54/Documents/DD/issuances/dodi/764002p.pdf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esd.whs.mil/Portals/54/Documents/DD/issuances/dodi/764002p.pdf" Type="http://schemas.openxmlformats.org/officeDocument/2006/relationships/hyperlink" Id="rId4"/>
    <Relationship TargetMode="External" Target="https://www.esd.whs.mil/Portals/54/Documents/DD/issuances/dodi/764002p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