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**ID__DLAD_42_302__ID**</w:t>
      </w:r>
    </w:p>
    <w:p>
      <w:pPr>
        <w:pStyle w:val="Heading3"/>
        <w:spacing w:after="199"/>
        <w:ind w:left="120"/>
        <w:jc w:val="left"/>
      </w:pPr>
      <w:r>
        <w:rPr>
          <w:rFonts w:ascii="Times New Roman" w:hAnsi="Times New Roman"/>
          <w:color w:val="000000"/>
          <w:sz w:val="31"/>
        </w:rPr>
        <w:t>42.302</w:t>
      </w:r>
      <w:r>
        <w:rPr>
          <w:rFonts w:ascii="Times New Roman" w:hAnsi="Times New Roman"/>
          <w:color w:val="000000"/>
          <w:sz w:val="31"/>
        </w:rPr>
        <w:t xml:space="preserve">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7.105.dita#DLAD_7_105" Type="http://schemas.openxmlformats.org/officeDocument/2006/relationships/hyperlink" Id="rId4"/>
    <Relationship TargetMode="External" Target="https://pubmini.dcma.mil/CMT_View/CMT_View_Search.cfm" Type="http://schemas.openxmlformats.org/officeDocument/2006/relationships/hyperlink" Id="rId5"/>
    <Relationship TargetMode="External" Target="https://pubmini.dcma.mil/CMT_View/CMT_View_Search.cfm" Type="http://schemas.openxmlformats.org/officeDocument/2006/relationships/hyperlink" Id="rId6"/>
    <Relationship TargetMode="External" Target="https://issuances.dla.mil/Published_Issuances/Enterprise%20Status%20Post%20Award%20Request%20(PAR).pdf" Type="http://schemas.openxmlformats.org/officeDocument/2006/relationships/hyperlink" Id="rId7"/>
    <Relationship TargetMode="External" Target="https://issuances.dla.mil/Published_Issuances/Enterprise%20Status%20Post%20Award%20Request%20(PAR).pdf"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