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**ID__DLAD_42_1101__ID**</w:t>
      </w:r>
    </w:p>
    <w:p>
      <w:pPr>
        <w:pStyle w:val="Heading3"/>
        <w:spacing w:after="199"/>
        <w:ind w:left="120"/>
        <w:jc w:val="left"/>
      </w:pPr>
      <w:r>
        <w:rPr>
          <w:rFonts w:ascii="Times New Roman" w:hAnsi="Times New Roman"/>
          <w:color w:val="000000"/>
          <w:sz w:val="31"/>
        </w:rPr>
        <w:t>42.1101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