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**ID__DLAD_46_292__ID**</w:t>
      </w:r>
    </w:p>
    <w:p>
      <w:pPr>
        <w:pStyle w:val="Heading3"/>
        <w:spacing w:after="199"/>
        <w:ind w:left="120"/>
        <w:jc w:val="left"/>
      </w:pPr>
      <w:r>
        <w:rPr>
          <w:rFonts w:ascii="Times New Roman" w:hAnsi="Times New Roman"/>
          <w:color w:val="000000"/>
          <w:sz w:val="31"/>
        </w:rPr>
        <w:t>46.292</w:t>
      </w:r>
      <w:r>
        <w:rPr>
          <w:rFonts w:ascii="Times New Roman" w:hAnsi="Times New Roman"/>
          <w:color w:val="000000"/>
          <w:sz w:val="31"/>
        </w:rPr>
        <w:t xml:space="preserve">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