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**ID__DLAD_46_402__ID**</w:t>
      </w:r>
    </w:p>
    <w:p>
      <w:pPr>
        <w:pStyle w:val="Heading3"/>
        <w:spacing w:after="199"/>
        <w:ind w:left="120"/>
        <w:jc w:val="left"/>
      </w:pPr>
      <w:r>
        <w:rPr>
          <w:rFonts w:ascii="Times New Roman" w:hAnsi="Times New Roman"/>
          <w:color w:val="000000"/>
          <w:sz w:val="31"/>
        </w:rPr>
        <w:t>46.402</w:t>
      </w:r>
      <w:r>
        <w:rPr>
          <w:rFonts w:ascii="Times New Roman" w:hAnsi="Times New Roman"/>
          <w:color w:val="000000"/>
          <w:sz w:val="31"/>
        </w:rPr>
        <w:t xml:space="preserve"> Government contract quality assurance at source.</w:t>
      </w:r>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