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**ID__DLAD_47_303-90__ID**</w:t>
      </w:r>
    </w:p>
    <w:p>
      <w:pPr>
        <w:pStyle w:val="Heading3"/>
        <w:spacing w:after="199"/>
        <w:ind w:left="120"/>
        <w:jc w:val="left"/>
      </w:pPr>
      <w:r>
        <w:rPr>
          <w:rFonts w:ascii="Times New Roman" w:hAnsi="Times New Roman"/>
          <w:color w:val="000000"/>
          <w:sz w:val="31"/>
        </w:rPr>
        <w:t>47.303-90</w:t>
      </w:r>
      <w:r>
        <w:rPr>
          <w:rFonts w:ascii="Times New Roman" w:hAnsi="Times New Roman"/>
          <w:color w:val="000000"/>
          <w:sz w:val="31"/>
        </w:rPr>
        <w:t xml:space="preserve"> Export shipment of wood products.</w:t>
      </w:r>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