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**ID__DLAD_3_104-3__ID**</w:t>
      </w:r>
    </w:p>
    <w:p>
      <w:pPr>
        <w:pStyle w:val="Heading3"/>
        <w:spacing w:after="199"/>
        <w:ind w:left="120"/>
        <w:jc w:val="left"/>
      </w:pPr>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