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**ID__DLAD_PART_52__ID**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</w:t>
      </w:r>
      <w:r>
        <w:rPr>
          <w:rFonts w:ascii="Times New Roman" w:hAnsi="Times New Roman"/>
          <w:color w:val="000000"/>
        </w:rPr>
        <w:t xml:space="preserve"> – SOLICITATION PROVISIONS AND CONTRACT CLAUSES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52.1 – INSTRUCTIONS FOR USING PROVISIONS AND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52.101 Using Part 52.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52.2 – TEXTS OF PROVISIONS AND CLAUSES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52.200 Scope of subpart.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5452.233-9001 Disputes – Agreement to Use Alternative Dispute Resolution (ADR) 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.1.dita#DLAD_SUBPART_52_1" Type="http://schemas.openxmlformats.org/officeDocument/2006/relationships/hyperlink" Id="rId4"/>
    <Relationship TargetMode="External" Target="52.101.dita#DLAD_52_101" Type="http://schemas.openxmlformats.org/officeDocument/2006/relationships/hyperlink" Id="rId5"/>
    <Relationship TargetMode="External" Target="SUBPART_52.2.dita#DLAD_SUBPART_52_2" Type="http://schemas.openxmlformats.org/officeDocument/2006/relationships/hyperlink" Id="rId6"/>
    <Relationship TargetMode="External" Target="52.200.dita#DLAD_52_200" Type="http://schemas.openxmlformats.org/officeDocument/2006/relationships/hyperlink" Id="rId7"/>
    <Relationship TargetMode="External" Target="5452.233-9001.dita#DLAD_5452_233-900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