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**ID__DLAD_53_9001__ID**</w:t>
      </w:r>
    </w:p>
    <w:p>
      <w:pPr>
        <w:pStyle w:val="Heading3"/>
        <w:spacing w:after="199"/>
        <w:ind w:left="120"/>
        <w:jc w:val="left"/>
      </w:pPr>
      <w:r>
        <w:rPr>
          <w:rFonts w:ascii="Times New Roman" w:hAnsi="Times New Roman"/>
          <w:color w:val="000000"/>
          <w:sz w:val="31"/>
        </w:rPr>
        <w:t>53.9001</w:t>
      </w:r>
      <w:r>
        <w:rPr>
          <w:rFonts w:ascii="Times New Roman" w:hAnsi="Times New Roman"/>
          <w:color w:val="000000"/>
          <w:sz w:val="31"/>
        </w:rPr>
        <w:t xml:space="preserve"> Appointment of ordering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603-3-91.dita#DLAD_1_603-3-9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