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**ID__DLAD_53_9015__ID**</w:t>
      </w:r>
    </w:p>
    <w:p>
      <w:pPr>
        <w:pStyle w:val="Heading3"/>
        <w:spacing w:after="199"/>
        <w:ind w:left="120"/>
        <w:jc w:val="left"/>
      </w:pPr>
      <w:r>
        <w:rPr>
          <w:rFonts w:ascii="Times New Roman" w:hAnsi="Times New Roman"/>
          <w:color w:val="000000"/>
          <w:sz w:val="31"/>
        </w:rPr>
        <w:t>53.9015</w:t>
      </w:r>
      <w:r>
        <w:rPr>
          <w:rFonts w:ascii="Times New Roman" w:hAnsi="Times New Roman"/>
          <w:color w:val="000000"/>
          <w:sz w:val="31"/>
        </w:rPr>
        <w:t>Contracting by negotiation.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0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2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891"/>
        <w:gridCol w:w="3233"/>
        <w:gridCol w:w="3227"/>
        <w:gridCol w:w="3223"/>
      </w:tblGrid>
      <w:tr>
        <w:trPr>
          <w:trHeight w:val="52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15.406-3.dita#DLAD_15_406-3" Type="http://schemas.openxmlformats.org/officeDocument/2006/relationships/hyperlink" Id="rId4"/>
    <Relationship TargetMode="External" Target="15.406-3.dita#DLAD_15_406-3" Type="http://schemas.openxmlformats.org/officeDocument/2006/relationships/hyperlink" Id="rId5"/>
    <Relationship TargetMode="External" Target="https://www.esd.whs.mil/Portals/54/Documents/DD/issuances/dodi/520048p.PDF?ver=2020-03-06-100640-800" Type="http://schemas.openxmlformats.org/officeDocument/2006/relationships/hyperlink" Id="rId6"/>
    <Relationship TargetMode="External" Target="https://www.esd.whs.mil/Portals/54/Documents/DD/issuances/dodi/520048p.PDF?ver=2020-03-06-100640-800" Type="http://schemas.openxmlformats.org/officeDocument/2006/relationships/hyperlink" Id="rId7"/>
    <Relationship TargetMode="External" Target="https://issuances.dla.mil/Published_Issuances/Controlled%20Unclassified%20Information%20(CUI).pdf?ver=2020-03-06-100640-800" Type="http://schemas.openxmlformats.org/officeDocument/2006/relationships/hyperlink" Id="rId8"/>
    <Relationship TargetMode="External" Target="https://issuances.dla.mil/Published_Issuances/Controlled%20Unclassified%20Information%20(CUI).pdf?ver=2020-03-06-100640-800" Type="http://schemas.openxmlformats.org/officeDocument/2006/relationships/hyperlink" Id="rId9"/>
    <Relationship TargetMode="External" Target="15.406-3.dita#DLAD_15_406-3" Type="http://schemas.openxmlformats.org/officeDocument/2006/relationships/hyperlink" Id="rId10"/>
    <Relationship TargetMode="External" Target="15.406-3.dita#DLAD_15_406-3" Type="http://schemas.openxmlformats.org/officeDocument/2006/relationships/hyperlink" Id="rId11"/>
    <Relationship TargetMode="External" Target="https://www.esd.whs.mil/Portals/54/Documents/DD/issuances/dodi/520048p.PDF?ver=2020-03-06-100640-800" Type="http://schemas.openxmlformats.org/officeDocument/2006/relationships/hyperlink" Id="rId12"/>
    <Relationship TargetMode="External" Target="https://www.esd.whs.mil/Portals/54/Documents/DD/issuances/dodi/520048p.PDF?ver=2020-03-06-100640-800" Type="http://schemas.openxmlformats.org/officeDocument/2006/relationships/hyperlink" Id="rId13"/>
    <Relationship TargetMode="External" Target="https://issuances.dla.mil/Published_Issuances/Controlled%20Unclassified%20Information%20(CUI).pdf?ver=2020-03-06-100640-800" Type="http://schemas.openxmlformats.org/officeDocument/2006/relationships/hyperlink" Id="rId14"/>
    <Relationship TargetMode="External" Target="https://issuances.dla.mil/Published_Issuances/Controlled%20Unclassified%20Information%20(CUI).pdf?ver=2020-03-06-100640-800"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