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**ID__DLAD_PGI_1_601__ID**</w:t>
      </w:r>
    </w:p>
    <w:p>
      <w:pPr>
        <w:pStyle w:val="Heading3"/>
        <w:spacing w:after="199"/>
        <w:ind w:left="120"/>
        <w:jc w:val="left"/>
      </w:pPr>
      <w:r>
        <w:rPr>
          <w:rFonts w:ascii="Times New Roman" w:hAnsi="Times New Roman"/>
          <w:color w:val="000000"/>
          <w:sz w:val="31"/>
        </w:rPr>
        <w:t>PGI 1.601</w:t>
      </w:r>
      <w:r>
        <w:rPr>
          <w:rFonts w:ascii="Times New Roman" w:hAnsi="Times New Roman"/>
          <w:color w:val="000000"/>
          <w:sz w:val="31"/>
        </w:rPr>
        <w:t xml:space="preserve"> General.</w:t>
      </w:r>
    </w:p>
    <w:p>
      <w:pPr>
        <w:pBdr>
          <w:top w:space="5"/>
          <w:left w:space="5"/>
          <w:bottom w:space="5"/>
          <w:right w:space="5"/>
        </w:pBdr>
        <w:spacing w:after="0"/>
        <w:ind w:left="225"/>
        <w:jc w:val="left"/>
      </w:pPr>
      <w:r>
        <w:rPr>
          <w:rFonts w:ascii="Times New Roman" w:hAnsi="Times New Roman"/>
          <w:b w:val="false"/>
          <w:i w:val="false"/>
          <w:color w:val="000000"/>
          <w:sz w:val="22"/>
        </w:rPr>
        <w:t>(a)(S-90) The DLA Acquisition Director designates DLA HCAs, subject to the following limitations:</w:t>
      </w:r>
    </w:p>
    <w:p>
      <w:pPr>
        <w:pBdr>
          <w:top w:space="5"/>
          <w:left w:space="5"/>
          <w:bottom w:space="5"/>
          <w:right w:space="5"/>
        </w:pBdr>
        <w:spacing w:after="0"/>
        <w:ind w:left="945"/>
        <w:jc w:val="left"/>
      </w:pPr>
      <w:r>
        <w:rPr>
          <w:rFonts w:ascii="Times New Roman" w:hAnsi="Times New Roman"/>
          <w:b w:val="false"/>
          <w:i w:val="false"/>
          <w:color w:val="000000"/>
          <w:sz w:val="22"/>
        </w:rPr>
        <w:t>(i) Designations authorizing exercise of all HCA contracting authority require that the designee is—</w:t>
      </w:r>
    </w:p>
    <w:p>
      <w:pPr>
        <w:pBdr>
          <w:top w:space="5"/>
          <w:left w:space="5"/>
          <w:bottom w:space="5"/>
          <w:right w:space="5"/>
        </w:pBdr>
        <w:spacing w:after="0"/>
        <w:ind w:left="1305"/>
        <w:jc w:val="left"/>
      </w:pPr>
      <w:r>
        <w:rPr>
          <w:rFonts w:ascii="Times New Roman" w:hAnsi="Times New Roman"/>
          <w:b w:val="false"/>
          <w:i w:val="false"/>
          <w:color w:val="000000"/>
          <w:sz w:val="22"/>
        </w:rPr>
        <w:t>(A) A member of the Senior Executive Service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Continuous Learning Points (CLPs)</w:t>
      </w:r>
    </w:p>
    <w:p>
      <w:pPr>
        <w:pBdr>
          <w:top w:space="5"/>
          <w:left w:space="5"/>
          <w:bottom w:space="5"/>
          <w:right w:space="5"/>
        </w:pBdr>
        <w:spacing w:after="0"/>
        <w:ind w:left="945"/>
        <w:jc w:val="left"/>
      </w:pPr>
      <w:r>
        <w:rPr>
          <w:rFonts w:ascii="Times New Roman" w:hAnsi="Times New Roman"/>
          <w:b w:val="false"/>
          <w:i w:val="false"/>
          <w:color w:val="000000"/>
          <w:sz w:val="22"/>
        </w:rPr>
        <w:t>(ii)(A) Designations authorizing exercise of restricted HCA contracting authority require that the designees is—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1</w:t>
      </w:r>
      <w:r>
        <w:rPr>
          <w:rFonts w:ascii="Times New Roman" w:hAnsi="Times New Roman"/>
          <w:b w:val="false"/>
          <w:i w:val="false"/>
          <w:color w:val="000000"/>
          <w:sz w:val="22"/>
        </w:rPr>
        <w:t>) A GS-15;</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2</w:t>
      </w:r>
      <w:r>
        <w:rPr>
          <w:rFonts w:ascii="Times New Roman" w:hAnsi="Times New Roman"/>
          <w:b w:val="false"/>
          <w:i w:val="false"/>
          <w:color w:val="000000"/>
          <w:sz w:val="22"/>
        </w:rPr>
        <w:t>) DAWIA Level III certified in Contracting; and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3</w:t>
      </w:r>
      <w:r>
        <w:rPr>
          <w:rFonts w:ascii="Times New Roman" w:hAnsi="Times New Roman"/>
          <w:b w:val="false"/>
          <w:i w:val="false"/>
          <w:color w:val="000000"/>
          <w:sz w:val="22"/>
        </w:rPr>
        <w:t>) Current in completion of CLPs.</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This type of designation is for MSCs that do not have an SES in the HCA role. The DLA Acquisition Director will clearly define the restrictions in the designation memorandum. The restrictions include, but are not limited to, actions not delegable below the HCA level, such as ratifications above the SAT (FAR 1.602-3(b)(2)); or actions delegable only to the GO/FO/SES level, such as those related to Procurement Integrity Act violations (FAR 3.104-7(b) and (g)). See the Signature Matrix at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Acquisition – J7</w:t>
        </w:r>
      </w:hyperlink>
      <w:r>
        <w:rPr>
          <w:rFonts w:ascii="Times New Roman" w:hAnsi="Times New Roman"/>
          <w:b w:val="false"/>
          <w:i w:val="false"/>
          <w:color w:val="000000"/>
          <w:sz w:val="22"/>
        </w:rPr>
        <w:t xml:space="preserve">SharePoint site </w:t>
      </w:r>
      <w:r>
        <w:rPr>
          <w:rFonts w:ascii="Times New Roman" w:hAnsi="Times New Roman"/>
          <w:b w:val="false"/>
          <w:i w:val="false"/>
          <w:color w:val="000000"/>
          <w:sz w:val="22"/>
          <w:u w:val="single"/>
        </w:rPr>
        <w:t>(https://dlamil.dps.mil/Sites/Acquisition/Pages/default.aspx)</w:t>
      </w:r>
      <w:r>
        <w:rPr>
          <w:rFonts w:ascii="Times New Roman" w:hAnsi="Times New Roman"/>
          <w:b w:val="false"/>
          <w:i w:val="false"/>
          <w:color w:val="000000"/>
          <w:sz w:val="22"/>
        </w:rPr>
        <w:t xml:space="preserve"> for a complete list of required approval levels and delegation limitations.</w:t>
      </w:r>
    </w:p>
    <w:p>
      <w:pPr>
        <w:pBdr>
          <w:top w:space="5"/>
          <w:left w:space="5"/>
          <w:bottom w:space="5"/>
          <w:right w:space="5"/>
        </w:pBdr>
        <w:spacing w:after="0"/>
        <w:ind w:left="225"/>
        <w:jc w:val="left"/>
      </w:pPr>
      <w:r>
        <w:rPr>
          <w:rFonts w:ascii="Times New Roman" w:hAnsi="Times New Roman"/>
          <w:b w:val="false"/>
          <w:i w:val="false"/>
          <w:color w:val="000000"/>
          <w:sz w:val="22"/>
        </w:rPr>
        <w:t>(a)(S-91) When a designated HCA for an MSC is not available to act, the order of elevation is as follows:</w:t>
      </w:r>
    </w:p>
    <w:p>
      <w:pPr>
        <w:pBdr>
          <w:top w:space="5"/>
          <w:left w:space="5"/>
          <w:bottom w:space="5"/>
          <w:right w:space="5"/>
        </w:pBdr>
        <w:spacing w:after="0"/>
        <w:ind w:left="945"/>
        <w:jc w:val="left"/>
      </w:pPr>
      <w:r>
        <w:rPr>
          <w:rFonts w:ascii="Times New Roman" w:hAnsi="Times New Roman"/>
          <w:b w:val="false"/>
          <w:i w:val="false"/>
          <w:color w:val="000000"/>
          <w:sz w:val="22"/>
        </w:rPr>
        <w:t>(i) The Deputy Commander of the MSC will act as the HCA if the Deputy Commander is—</w:t>
      </w:r>
    </w:p>
    <w:p>
      <w:pPr>
        <w:pBdr>
          <w:top w:space="5"/>
          <w:left w:space="5"/>
          <w:bottom w:space="5"/>
          <w:right w:space="5"/>
        </w:pBdr>
        <w:spacing w:after="0"/>
        <w:ind w:left="1305"/>
        <w:jc w:val="left"/>
      </w:pPr>
      <w:r>
        <w:rPr>
          <w:rFonts w:ascii="Times New Roman" w:hAnsi="Times New Roman"/>
          <w:b w:val="false"/>
          <w:i w:val="false"/>
          <w:color w:val="000000"/>
          <w:sz w:val="22"/>
        </w:rPr>
        <w:t>(A) An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CLPs.</w:t>
      </w:r>
    </w:p>
    <w:p>
      <w:pPr>
        <w:pBdr>
          <w:top w:space="5"/>
          <w:left w:space="5"/>
          <w:bottom w:space="5"/>
          <w:right w:space="5"/>
        </w:pBdr>
        <w:spacing w:after="0"/>
        <w:ind w:left="945"/>
        <w:jc w:val="left"/>
      </w:pPr>
      <w:r>
        <w:rPr>
          <w:rFonts w:ascii="Times New Roman" w:hAnsi="Times New Roman"/>
          <w:b w:val="false"/>
          <w:i w:val="false"/>
          <w:color w:val="000000"/>
          <w:sz w:val="22"/>
        </w:rPr>
        <w:t>(ii) When the Deputy Commander of the MSC does not meet the qualifications at (a)(S-91)(i) of this section, or meets the qualifications but is not available to act, the Commander of the MSC will act as the HCA if the Commander is—</w:t>
      </w:r>
    </w:p>
    <w:p>
      <w:pPr>
        <w:pBdr>
          <w:top w:space="5"/>
          <w:left w:space="5"/>
          <w:bottom w:space="5"/>
          <w:right w:space="5"/>
        </w:pBdr>
        <w:spacing w:after="0"/>
        <w:ind w:left="1305"/>
        <w:jc w:val="left"/>
      </w:pPr>
      <w:r>
        <w:rPr>
          <w:rFonts w:ascii="Times New Roman" w:hAnsi="Times New Roman"/>
          <w:b w:val="false"/>
          <w:i w:val="false"/>
          <w:color w:val="000000"/>
          <w:sz w:val="22"/>
        </w:rPr>
        <w:t>(A) A General Officer/Flag Officer or an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CLPs.</w:t>
      </w:r>
    </w:p>
    <w:p>
      <w:pPr>
        <w:pBdr>
          <w:top w:space="5"/>
          <w:left w:space="5"/>
          <w:bottom w:space="5"/>
          <w:right w:space="5"/>
        </w:pBdr>
        <w:spacing w:after="0"/>
        <w:ind w:left="945"/>
        <w:jc w:val="left"/>
      </w:pPr>
      <w:r>
        <w:rPr>
          <w:rFonts w:ascii="Times New Roman" w:hAnsi="Times New Roman"/>
          <w:b w:val="false"/>
          <w:i w:val="false"/>
          <w:color w:val="000000"/>
          <w:sz w:val="22"/>
        </w:rPr>
        <w:t>(iii) The DLA Acquisition Deputy Director will act as the HCA—</w:t>
      </w:r>
    </w:p>
    <w:p>
      <w:pPr>
        <w:pBdr>
          <w:top w:space="5"/>
          <w:left w:space="5"/>
          <w:bottom w:space="5"/>
          <w:right w:space="5"/>
        </w:pBdr>
        <w:spacing w:after="0"/>
        <w:ind w:left="1305"/>
        <w:jc w:val="left"/>
      </w:pPr>
      <w:r>
        <w:rPr>
          <w:rFonts w:ascii="Times New Roman" w:hAnsi="Times New Roman"/>
          <w:b w:val="false"/>
          <w:i w:val="false"/>
          <w:color w:val="000000"/>
          <w:sz w:val="22"/>
        </w:rPr>
        <w:t>(A) If neither the Deputy Commander nor the Commander of the MSC meets the qualifications at (a)(S-91)(i) or (ii) of this section, or meets the qualifications but is not available to act; or</w:t>
      </w:r>
    </w:p>
    <w:p>
      <w:pPr>
        <w:pBdr>
          <w:top w:space="5"/>
          <w:left w:space="5"/>
          <w:bottom w:space="5"/>
          <w:right w:space="5"/>
        </w:pBdr>
        <w:spacing w:after="0"/>
        <w:ind w:left="1305"/>
        <w:jc w:val="left"/>
      </w:pPr>
      <w:r>
        <w:rPr>
          <w:rFonts w:ascii="Times New Roman" w:hAnsi="Times New Roman"/>
          <w:b w:val="false"/>
          <w:i w:val="false"/>
          <w:color w:val="000000"/>
          <w:sz w:val="22"/>
        </w:rPr>
        <w:t>(B) In the absence of the SPE for authorities retained by the SPE under a designation of restricted HCA contracting authority (see (a)(S-90)(ii) of this section).</w:t>
      </w:r>
    </w:p>
    <w:p>
      <w:pPr>
        <w:pBdr>
          <w:top w:space="5"/>
          <w:left w:space="5"/>
          <w:bottom w:space="5"/>
          <w:right w:space="5"/>
        </w:pBdr>
        <w:spacing w:after="0"/>
        <w:ind w:left="945"/>
        <w:jc w:val="left"/>
      </w:pPr>
      <w:r>
        <w:rPr>
          <w:rFonts w:ascii="Times New Roman" w:hAnsi="Times New Roman"/>
          <w:b w:val="false"/>
          <w:i w:val="false"/>
          <w:color w:val="000000"/>
          <w:sz w:val="22"/>
        </w:rPr>
        <w:t>(iv) The DLA SPE (including the DLA Vice Director when acting as SPE in the absence of the DLA SPE) will act as the HCA in the absence of—</w:t>
      </w:r>
    </w:p>
    <w:p>
      <w:pPr>
        <w:pBdr>
          <w:top w:space="5"/>
          <w:left w:space="5"/>
          <w:bottom w:space="5"/>
          <w:right w:space="5"/>
        </w:pBdr>
        <w:spacing w:after="0"/>
        <w:ind w:left="1305"/>
        <w:jc w:val="left"/>
      </w:pPr>
      <w:r>
        <w:rPr>
          <w:rFonts w:ascii="Times New Roman" w:hAnsi="Times New Roman"/>
          <w:b w:val="false"/>
          <w:i w:val="false"/>
          <w:color w:val="000000"/>
          <w:sz w:val="22"/>
        </w:rPr>
        <w:t>(A) An MSC HCA and any qualified acting MSC HCA as listed above; or</w:t>
      </w:r>
    </w:p>
    <w:p>
      <w:pPr>
        <w:pBdr>
          <w:top w:space="5"/>
          <w:left w:space="5"/>
          <w:bottom w:space="5"/>
          <w:right w:space="5"/>
        </w:pBdr>
        <w:spacing w:after="0"/>
        <w:ind w:left="1305"/>
        <w:jc w:val="left"/>
      </w:pPr>
      <w:r>
        <w:rPr>
          <w:rFonts w:ascii="Times New Roman" w:hAnsi="Times New Roman"/>
          <w:b w:val="false"/>
          <w:i w:val="false"/>
          <w:color w:val="000000"/>
          <w:sz w:val="22"/>
        </w:rPr>
        <w:t>(B) The HCA for procuring organizations for which the DLA Acquisition Deputy Director is HCA.</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dlamil.dps.mil/Sites/Acquisition/Pages/default.asp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