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**ID__DLAD_4_703__ID**</w:t>
      </w:r>
    </w:p>
    <w:p>
      <w:pPr>
        <w:pStyle w:val="Heading3"/>
        <w:spacing w:after="199"/>
        <w:ind w:left="120"/>
        <w:jc w:val="left"/>
      </w:pPr>
      <w:r>
        <w:rPr>
          <w:rFonts w:ascii="Times New Roman" w:hAnsi="Times New Roman"/>
          <w:color w:val="000000"/>
          <w:sz w:val="31"/>
        </w:rPr>
        <w:t>4.703</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include procurement note C03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C03 Contractor Retention of Supply Chain Traceability Documentation (JUN 2020)</w:t>
      </w:r>
    </w:p>
    <w:p>
      <w:pPr>
        <w:pStyle w:val="Normal"/>
        <w:pBdr>
          <w:top w:space="5"/>
          <w:left w:space="5"/>
          <w:bottom w:space="5"/>
          <w:right w:space="5"/>
        </w:pBdr>
        <w:spacing w:after="0"/>
        <w:ind w:left="225"/>
        <w:jc w:val="left"/>
      </w:pPr>
      <w:r>
        <w:rPr>
          <w:rFonts w:ascii="Times New Roman" w:hAnsi="Times New Roman"/>
          <w:color w:val="000000"/>
        </w:rP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w:pPr>
        <w:pStyle w:val="Normal"/>
        <w:pBdr>
          <w:top w:space="5"/>
          <w:left w:space="5"/>
          <w:bottom w:space="5"/>
          <w:right w:space="5"/>
        </w:pBdr>
        <w:spacing w:after="0"/>
        <w:ind w:left="225"/>
        <w:jc w:val="left"/>
      </w:pPr>
      <w:r>
        <w:rPr>
          <w:rFonts w:ascii="Times New Roman" w:hAnsi="Times New Roman"/>
          <w:color w:val="000000"/>
        </w:rP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w:pPr>
        <w:pStyle w:val="Normal"/>
        <w:pBdr>
          <w:top w:space="5"/>
          <w:left w:space="5"/>
          <w:bottom w:space="5"/>
          <w:right w:space="5"/>
        </w:pBdr>
        <w:spacing w:after="0"/>
        <w:ind w:left="225"/>
        <w:jc w:val="left"/>
      </w:pPr>
      <w:r>
        <w:rPr>
          <w:rFonts w:ascii="Times New Roman" w:hAnsi="Times New Roman"/>
          <w:color w:val="000000"/>
        </w:rPr>
        <w:t xml:space="preserve">(3) Contractors can find examples of acceptable supply chain traceability documentation at the </w:t>
      </w:r>
      <w:hyperlink r:id="rId4">
        <w:r>
          <w:rPr>
            <w:rStyle w:val="Hyperlink"/>
            <w:rFonts w:ascii="Times New Roman" w:hAnsi="Times New Roman"/>
            <w:color w:val="0000ff"/>
            <w:u w:val="single"/>
          </w:rPr>
          <w:t/>
        </w:r>
        <w:r>
          <w:rPr>
            <w:rFonts w:ascii="Times New Roman" w:hAnsi="Times New Roman"/>
            <w:color w:val="0000ff"/>
            <w:u w:val="single"/>
          </w:rPr>
          <w:t>Counterfeit Detection and Avoidance Program (CDAP) Website</w:t>
        </w:r>
      </w:hyperlink>
      <w:r>
        <w:rPr>
          <w:rFonts w:ascii="Times New Roman" w:hAnsi="Times New Roman"/>
          <w:color w:val="000000"/>
        </w:rPr>
        <w:t xml:space="preserve"> (</w:t>
      </w:r>
      <w:hyperlink r:id="rId5">
        <w:r>
          <w:rPr>
            <w:rStyle w:val="Hyperlink"/>
            <w:rFonts w:ascii="Times New Roman" w:hAnsi="Times New Roman"/>
            <w:color w:val="0000ff"/>
            <w:u w:val="single"/>
          </w:rPr>
          <w:t/>
        </w:r>
        <w:r>
          <w:rPr>
            <w:rFonts w:ascii="Times New Roman" w:hAnsi="Times New Roman"/>
            <w:color w:val="0000ff"/>
            <w:u w:val="single"/>
          </w:rPr>
          <w:t>http://www.dla.mil/LandandMaritime/Business/Selling/Counterfeit-Detection-Avoidance-Program/</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dla.mil/LandandMaritime/Business/Selling/Counterfeit-Detection-Avoidance-Program/" Type="http://schemas.openxmlformats.org/officeDocument/2006/relationships/hyperlink" Id="rId4"/>
    <Relationship TargetMode="External" Target="http://www.dla.mil/LandandMaritime/Business/Selling/Counterfeit-Detection-Avoidance-Program/"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