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**ID__DLAD_4_804__ID**</w:t>
      </w:r>
    </w:p>
    <w:p>
      <w:pPr>
        <w:pStyle w:val="Heading3"/>
        <w:spacing w:after="199"/>
        <w:ind w:left="120"/>
        <w:jc w:val="left"/>
      </w:pPr>
      <w:r>
        <w:rPr>
          <w:rFonts w:ascii="Times New Roman" w:hAnsi="Times New Roman"/>
          <w:color w:val="000000"/>
          <w:sz w:val="31"/>
        </w:rPr>
        <w:t>4.804</w:t>
      </w:r>
      <w:r>
        <w:rPr>
          <w:rFonts w:ascii="Times New Roman" w:hAnsi="Times New Roman"/>
          <w:color w:val="000000"/>
          <w:sz w:val="31"/>
        </w:rPr>
        <w:t xml:space="preserve"> Closeout of contract files.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7010.02, Unliquidated Obligations (ULO) and Undelivered Orders (UDO) Management</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https://issue-p.dla.mil/Published_Issuances/Unliquidated%20Obligations%20(ULO)%20and%20Undelivered%20Orders%20(UDO)%20Management.pdf</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(S-91)(1) Definition.</w:t>
      </w:r>
    </w:p>
    <w:p>
      <w:pPr>
        <w:pStyle w:val="Normal"/>
        <w:pBdr>
          <w:top w:space="5"/>
          <w:left w:space="5"/>
          <w:bottom w:space="5"/>
          <w:right w:space="5"/>
        </w:pBdr>
        <w:spacing w:after="0"/>
        <w:ind w:left="225"/>
        <w:jc w:val="left"/>
      </w:pPr>
      <w:r>
        <w:rPr>
          <w:rFonts w:ascii="Times New Roman" w:hAnsi="Times New Roman"/>
          <w:i/>
          <w:color w:val="000000"/>
        </w:rPr>
        <w:t>“Excess funds”</w:t>
      </w:r>
      <w:r>
        <w:rPr>
          <w:rFonts w:ascii="Times New Roman" w:hAnsi="Times New Roman"/>
          <w:color w:val="000000"/>
        </w:rPr>
        <w:t xml:space="preserve"> 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Contracting officers shall deobligate excess funds via bilateral or unilateral (see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43.103(b)(S-90)</w:t>
        </w:r>
      </w:hyperlink>
      <w:r>
        <w:rPr>
          <w:rFonts w:ascii="Times New Roman" w:hAnsi="Times New Roman"/>
          <w:b w:val="false"/>
          <w:i w:val="false"/>
          <w:color w:val="000000"/>
          <w:sz w:val="22"/>
        </w:rPr>
        <w:t>) contract modification as part of the contract closeout process. The record of the contract obligation amount is maintained in DLA’s electronic business system and shall be updated to remove all deobligated excess funds as part of contract closeout.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ssue-p.dla.mil/Published_Issuances/Unliquidated%20Obligations%20(ULO)%20and%20Undelivered%20Orders%20(UDO)%20Management.pdf" Type="http://schemas.openxmlformats.org/officeDocument/2006/relationships/hyperlink" Id="rId4"/>
    <Relationship TargetMode="External" Target="https://issue-p.dla.mil/Published_Issuances/Unliquidated%20Obligations%20(ULO)%20and%20Undelivered%20Orders%20(UDO)%20Management.pdf" Type="http://schemas.openxmlformats.org/officeDocument/2006/relationships/hyperlink" Id="rId5"/>
    <Relationship TargetMode="External" Target="43.103.dita#DLAD_43_103/p_P43_103_b_S90"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