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**ID__DLAD_1_170__ID**</w:t>
      </w:r>
    </w:p>
    <w:p>
      <w:pPr>
        <w:pStyle w:val="Heading3"/>
        <w:spacing w:after="199"/>
        <w:ind w:left="120"/>
        <w:jc w:val="left"/>
      </w:pPr>
      <w:r>
        <w:rPr>
          <w:rFonts w:ascii="Times New Roman" w:hAnsi="Times New Roman"/>
          <w:color w:val="000000"/>
          <w:sz w:val="31"/>
        </w:rPr>
        <w:t>1.170</w:t>
      </w:r>
      <w:r>
        <w:rPr>
          <w:rFonts w:ascii="Times New Roman" w:hAnsi="Times New Roman"/>
          <w:color w:val="000000"/>
          <w:sz w:val="31"/>
        </w:rPr>
        <w:t xml:space="preserve"> Peer reviews.</w:t>
      </w:r>
    </w:p>
    <w:p>
      <w:pPr>
        <w:pBdr>
          <w:top w:space="5"/>
          <w:left w:space="5"/>
          <w:bottom w:space="5"/>
          <w:right w:space="5"/>
        </w:pBdr>
        <w:spacing w:after="0"/>
        <w:ind w:left="225"/>
        <w:jc w:val="left"/>
      </w:pPr>
      <w:r>
        <w:rPr>
          <w:rFonts w:ascii="Times New Roman" w:hAnsi="Times New Roman"/>
          <w:b w:val="false"/>
          <w:i w:val="false"/>
          <w:color w:val="000000"/>
          <w:sz w:val="22"/>
        </w:rPr>
        <w:t>(a) DoD peer reviews.</w:t>
      </w:r>
    </w:p>
    <w:p>
      <w:pPr>
        <w:pBdr>
          <w:top w:space="5"/>
          <w:left w:space="5"/>
          <w:bottom w:space="5"/>
          <w:right w:space="5"/>
        </w:pBdr>
        <w:spacing w:after="0"/>
        <w:ind w:left="585"/>
        <w:jc w:val="left"/>
      </w:pPr>
      <w:r>
        <w:rPr>
          <w:rFonts w:ascii="Times New Roman" w:hAnsi="Times New Roman"/>
          <w:b w:val="false"/>
          <w:i w:val="false"/>
          <w:color w:val="000000"/>
          <w:sz w:val="22"/>
        </w:rPr>
        <w:t>(1) Procuring organizations shall submit forecasts of projects meeting the Defense Pricing and Contracting (DPC)(USD(A&amp;S) peer review thresholds for the following quarter by the 15th of September, December, March, and June, for consolidation of project information by the DLA Acquisition Operations Division program manager. Provide information using the following format:</w:t>
      </w:r>
    </w:p>
    <w:p>
      <w:pPr>
        <w:pBdr>
          <w:top w:space="5"/>
          <w:left w:space="5"/>
          <w:bottom w:space="5"/>
          <w:right w:space="5"/>
        </w:pBdr>
        <w:spacing w:after="0"/>
        <w:ind w:left="225"/>
        <w:jc w:val="center"/>
      </w:pPr>
      <w:r>
        <w:rPr>
          <w:rFonts w:ascii="Times New Roman" w:hAnsi="Times New Roman"/>
          <w:b/>
          <w:i w:val="false"/>
          <w:color w:val="000000"/>
          <w:sz w:val="22"/>
        </w:rPr>
        <w:t>DEFENSE PRICING AND CONTRACTING (DPC)</w:t>
      </w:r>
      <w:r>
        <w:rPr>
          <w:rFonts w:ascii="Times New Roman" w:hAnsi="Times New Roman"/>
          <w:b/>
          <w:i w:val="false"/>
          <w:color w:val="000000"/>
          <w:sz w:val="22"/>
        </w:rPr>
        <w:t>PEER REVIEW FORECAST</w:t>
      </w:r>
    </w:p>
    <w:p>
      <w:pPr>
        <w:pBdr>
          <w:top w:space="5"/>
          <w:left w:space="5"/>
          <w:bottom w:space="5"/>
          <w:right w:space="5"/>
        </w:pBdr>
        <w:spacing w:after="0"/>
        <w:ind w:left="225"/>
        <w:jc w:val="center"/>
      </w:pPr>
      <w:r>
        <w:rPr>
          <w:rFonts w:ascii="Times New Roman" w:hAnsi="Times New Roman"/>
          <w:b/>
          <w:i w:val="false"/>
          <w:color w:val="000000"/>
          <w:sz w:val="22"/>
        </w:rPr>
        <w:t>Fiscal Year 20XX Oct-Dec</w:t>
      </w:r>
    </w:p>
    <w:p>
      <w:pPr>
        <w:pBdr>
          <w:top w:space="5"/>
          <w:left w:space="5"/>
          <w:bottom w:space="5"/>
          <w:right w:space="5"/>
        </w:pBdr>
        <w:spacing w:after="0"/>
        <w:ind w:left="225"/>
        <w:jc w:val="left"/>
      </w:pPr>
      <w:r>
        <w:rPr>
          <w:rFonts w:ascii="Times New Roman" w:hAnsi="Times New Roman"/>
          <w:b/>
          <w:i w:val="false"/>
          <w:color w:val="000000"/>
          <w:sz w:val="22"/>
        </w:rPr>
        <w:t>PREAWARD – COMPETITIVE</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194"/>
        <w:gridCol w:w="2114"/>
        <w:gridCol w:w="1643"/>
        <w:gridCol w:w="1847"/>
        <w:gridCol w:w="2007"/>
        <w:gridCol w:w="1847"/>
        <w:gridCol w:w="1723"/>
        <w:gridCol w:w="1847"/>
        <w:gridCol w:w="1723"/>
        <w:gridCol w:w="1723"/>
      </w:tblGrid>
      <w:tr>
        <w:trPr>
          <w:trHeight w:val="1920" w:hRule="atLeast"/>
        </w:trPr>
        <w:tc>
          <w:tcPr>
            <w:tcW w:w="2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Organization</w:t>
            </w:r>
          </w:p>
        </w:tc>
        <w:tc>
          <w:tcPr>
            <w:tcW w:w="21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Program/Acquisition Name/Description</w:t>
            </w:r>
          </w:p>
        </w:tc>
        <w:tc>
          <w:tcPr>
            <w:tcW w:w="16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Amount</w:t>
            </w:r>
          </w:p>
        </w:tc>
        <w:tc>
          <w:tcPr>
            <w:tcW w:w="1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1 Peer Review Date</w:t>
            </w:r>
          </w:p>
        </w:tc>
        <w:tc>
          <w:tcPr>
            <w:tcW w:w="20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Solicitation Issuance</w:t>
            </w:r>
          </w:p>
        </w:tc>
        <w:tc>
          <w:tcPr>
            <w:tcW w:w="1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2 Peer Review Date</w:t>
            </w:r>
          </w:p>
        </w:tc>
        <w:tc>
          <w:tcPr>
            <w:tcW w:w="1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Request for Final Proposal Revisions</w:t>
            </w:r>
          </w:p>
        </w:tc>
        <w:tc>
          <w:tcPr>
            <w:tcW w:w="1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3 Peer Review Date</w:t>
            </w:r>
          </w:p>
        </w:tc>
        <w:tc>
          <w:tcPr>
            <w:tcW w:w="1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Contract Award</w:t>
            </w:r>
          </w:p>
        </w:tc>
        <w:tc>
          <w:tcPr>
            <w:tcW w:w="1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Notes</w:t>
            </w:r>
          </w:p>
        </w:tc>
      </w:tr>
      <w:tr>
        <w:trPr>
          <w:trHeight w:val="810" w:hRule="atLeast"/>
        </w:trPr>
        <w:tc>
          <w:tcPr>
            <w:tcW w:w="2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1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0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r>
    </w:tbl>
    <w:p>
      <w:pPr>
        <w:pBdr>
          <w:top w:space="5"/>
          <w:left w:space="5"/>
          <w:bottom w:space="5"/>
          <w:right w:space="5"/>
        </w:pBdr>
        <w:spacing w:after="0"/>
        <w:ind w:left="225"/>
        <w:jc w:val="left"/>
      </w:pPr>
      <w:r>
        <w:rPr>
          <w:rFonts w:ascii="Times New Roman" w:hAnsi="Times New Roman"/>
          <w:b/>
          <w:i w:val="false"/>
          <w:color w:val="000000"/>
          <w:sz w:val="22"/>
        </w:rPr>
        <w:t>PREAWARD – NONCOMPETITIVE</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194"/>
        <w:gridCol w:w="2114"/>
        <w:gridCol w:w="1643"/>
        <w:gridCol w:w="1847"/>
        <w:gridCol w:w="2043"/>
        <w:gridCol w:w="1847"/>
        <w:gridCol w:w="1723"/>
        <w:gridCol w:w="1723"/>
        <w:gridCol w:w="1643"/>
      </w:tblGrid>
      <w:tr>
        <w:trPr>
          <w:trHeight w:val="1920" w:hRule="atLeast"/>
        </w:trPr>
        <w:tc>
          <w:tcPr>
            <w:tcW w:w="2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Procuring Organization</w:t>
            </w:r>
          </w:p>
        </w:tc>
        <w:tc>
          <w:tcPr>
            <w:tcW w:w="21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Program/Acquisition Name/ Description</w:t>
            </w:r>
          </w:p>
        </w:tc>
        <w:tc>
          <w:tcPr>
            <w:tcW w:w="16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Amount</w:t>
            </w:r>
          </w:p>
        </w:tc>
        <w:tc>
          <w:tcPr>
            <w:tcW w:w="1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1 Peer Review Date</w:t>
            </w:r>
          </w:p>
        </w:tc>
        <w:tc>
          <w:tcPr>
            <w:tcW w:w="20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Negotiation Issuance</w:t>
            </w:r>
          </w:p>
        </w:tc>
        <w:tc>
          <w:tcPr>
            <w:tcW w:w="1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2 Peer Review Date</w:t>
            </w:r>
          </w:p>
        </w:tc>
        <w:tc>
          <w:tcPr>
            <w:tcW w:w="1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Request for Final Proposal Revisions</w:t>
            </w:r>
          </w:p>
        </w:tc>
        <w:tc>
          <w:tcPr>
            <w:tcW w:w="1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Contract Award</w:t>
            </w:r>
          </w:p>
        </w:tc>
        <w:tc>
          <w:tcPr>
            <w:tcW w:w="16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Notes</w:t>
            </w:r>
          </w:p>
        </w:tc>
      </w:tr>
      <w:tr>
        <w:trPr>
          <w:trHeight w:val="810" w:hRule="atLeast"/>
        </w:trPr>
        <w:tc>
          <w:tcPr>
            <w:tcW w:w="2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1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0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r>
    </w:tbl>
    <w:p>
      <w:pPr>
        <w:pBdr>
          <w:top w:space="5"/>
          <w:left w:space="5"/>
          <w:bottom w:space="5"/>
          <w:right w:space="5"/>
        </w:pBdr>
        <w:spacing w:after="0"/>
        <w:ind w:left="585"/>
        <w:jc w:val="left"/>
      </w:pPr>
      <w:r>
        <w:rPr>
          <w:rFonts w:ascii="Times New Roman" w:hAnsi="Times New Roman"/>
          <w:b w:val="false"/>
          <w:i w:val="false"/>
          <w:color w:val="000000"/>
          <w:sz w:val="22"/>
        </w:rPr>
        <w:t xml:space="preserve">(2) The HCA shall conduct an Integrated Acquisition Review Board (IARB) as defined in </w:t>
      </w:r>
      <w:r>
        <w:rPr>
          <w:rFonts w:ascii="Times New Roman" w:hAnsi="Times New Roman"/>
          <w:b w:val="false"/>
          <w:i w:val="false"/>
          <w:color w:val="000000"/>
          <w:sz w:val="22"/>
          <w:u w:val="single"/>
        </w:rPr>
        <w:t>2.101</w:t>
      </w:r>
      <w:r>
        <w:rPr>
          <w:rFonts w:ascii="Times New Roman" w:hAnsi="Times New Roman"/>
          <w:b w:val="false"/>
          <w:i w:val="false"/>
          <w:color w:val="000000"/>
          <w:sz w:val="22"/>
        </w:rPr>
        <w:t xml:space="preserve"> prior to a DPC peer review.</w:t>
      </w:r>
    </w:p>
    <w:p>
      <w:pPr>
        <w:pBdr>
          <w:top w:space="5"/>
          <w:left w:space="5"/>
          <w:bottom w:space="5"/>
          <w:right w:space="5"/>
        </w:pBdr>
        <w:spacing w:after="0"/>
        <w:ind w:left="585"/>
        <w:jc w:val="left"/>
      </w:pPr>
      <w:r>
        <w:rPr>
          <w:rFonts w:ascii="Times New Roman" w:hAnsi="Times New Roman"/>
          <w:b w:val="false"/>
          <w:i w:val="false"/>
          <w:color w:val="000000"/>
          <w:sz w:val="22"/>
        </w:rPr>
        <w:t>(3) If there is a discrepancy between the acquisition strategy and the DPC peer review recommendations, the HCA shall confer with the DLA Acquisition Director to determine appropriate action.</w:t>
      </w:r>
    </w:p>
    <w:p>
      <w:pPr>
        <w:pBdr>
          <w:top w:space="5"/>
          <w:left w:space="5"/>
          <w:bottom w:space="5"/>
          <w:right w:space="5"/>
        </w:pBdr>
        <w:spacing w:after="0"/>
        <w:ind w:left="585"/>
        <w:jc w:val="left"/>
      </w:pPr>
      <w:r>
        <w:rPr>
          <w:rFonts w:ascii="Times New Roman" w:hAnsi="Times New Roman"/>
          <w:b w:val="false"/>
          <w:i w:val="false"/>
          <w:color w:val="000000"/>
          <w:sz w:val="22"/>
        </w:rPr>
        <w:t>(4) Within 15 calendar days after the date of the DPC peer review report, the contracting officer shall document the disposition of all DPC peer review recommendations in a memorandum for the record and furnish a copy to the DLA Acquisition Operations Division. If the contracting officer takes exceptions to any DPC recommendations, the contracting officer shall route the report through the HCA, who will notify the DLA Acquisition Director and DLA Acquisition Operations Division prior to providing the response to DPC. If the DLA Acquisition Director recommends any changes, the DLA Acquisition Director will discuss them with the HCA.</w:t>
      </w:r>
    </w:p>
    <w:p>
      <w:pPr>
        <w:pBdr>
          <w:top w:space="5"/>
          <w:left w:space="5"/>
          <w:bottom w:space="5"/>
          <w:right w:space="5"/>
        </w:pBdr>
        <w:spacing w:after="0"/>
        <w:ind w:left="225"/>
        <w:jc w:val="left"/>
      </w:pPr>
      <w:r>
        <w:rPr>
          <w:rFonts w:ascii="Times New Roman" w:hAnsi="Times New Roman"/>
          <w:b w:val="false"/>
          <w:i w:val="false"/>
          <w:color w:val="000000"/>
          <w:sz w:val="22"/>
        </w:rPr>
        <w:t>(b) Component peer reviews.</w:t>
      </w:r>
    </w:p>
    <w:p>
      <w:pPr>
        <w:pBdr>
          <w:top w:space="5"/>
          <w:left w:space="5"/>
          <w:bottom w:space="5"/>
          <w:right w:space="5"/>
        </w:pBdr>
        <w:spacing w:after="0"/>
        <w:ind w:left="585"/>
        <w:jc w:val="left"/>
      </w:pPr>
      <w:r>
        <w:rPr>
          <w:rFonts w:ascii="Times New Roman" w:hAnsi="Times New Roman"/>
          <w:b w:val="false"/>
          <w:i w:val="false"/>
          <w:color w:val="000000"/>
          <w:sz w:val="22"/>
        </w:rPr>
        <w:t>(1) HCAs are responsible for—</w:t>
      </w:r>
    </w:p>
    <w:p>
      <w:pPr>
        <w:pBdr>
          <w:top w:space="5"/>
          <w:left w:space="5"/>
          <w:bottom w:space="5"/>
          <w:right w:space="5"/>
        </w:pBdr>
        <w:spacing w:after="0"/>
        <w:ind w:left="945"/>
        <w:jc w:val="left"/>
      </w:pPr>
      <w:r>
        <w:rPr>
          <w:rFonts w:ascii="Times New Roman" w:hAnsi="Times New Roman"/>
          <w:b w:val="false"/>
          <w:i w:val="false"/>
          <w:color w:val="000000"/>
          <w:sz w:val="22"/>
        </w:rPr>
        <w:t>(i) Executing peer reviews in accordance with DoDI 5000.02 and DFARS Part 201;</w:t>
      </w:r>
    </w:p>
    <w:p>
      <w:pPr>
        <w:pBdr>
          <w:top w:space="5"/>
          <w:left w:space="5"/>
          <w:bottom w:space="5"/>
          <w:right w:space="5"/>
        </w:pBdr>
        <w:spacing w:after="0"/>
        <w:ind w:left="945"/>
        <w:jc w:val="left"/>
      </w:pPr>
      <w:r>
        <w:rPr>
          <w:rFonts w:ascii="Times New Roman" w:hAnsi="Times New Roman"/>
          <w:b w:val="false"/>
          <w:i w:val="false"/>
          <w:color w:val="000000"/>
          <w:sz w:val="22"/>
        </w:rPr>
        <w:t>(ii) Conducting a minimum of two (2) reviews per fiscal year;</w:t>
      </w:r>
    </w:p>
    <w:p>
      <w:pPr>
        <w:pBdr>
          <w:top w:space="5"/>
          <w:left w:space="5"/>
          <w:bottom w:space="5"/>
          <w:right w:space="5"/>
        </w:pBdr>
        <w:spacing w:after="0"/>
        <w:ind w:left="945"/>
        <w:jc w:val="left"/>
      </w:pPr>
      <w:r>
        <w:rPr>
          <w:rFonts w:ascii="Times New Roman" w:hAnsi="Times New Roman"/>
          <w:b w:val="false"/>
          <w:i w:val="false"/>
          <w:color w:val="000000"/>
          <w:sz w:val="22"/>
        </w:rPr>
        <w:t>(iii) Providing identification of and first quarter forecast for the acquisitions for the following fiscal year to the DLA Acquisition Operations Division by September 30th; and</w:t>
      </w:r>
    </w:p>
    <w:p>
      <w:pPr>
        <w:pBdr>
          <w:top w:space="5"/>
          <w:left w:space="5"/>
          <w:bottom w:space="5"/>
          <w:right w:space="5"/>
        </w:pBdr>
        <w:spacing w:after="0"/>
        <w:ind w:left="945"/>
        <w:jc w:val="left"/>
      </w:pPr>
      <w:r>
        <w:rPr>
          <w:rFonts w:ascii="Times New Roman" w:hAnsi="Times New Roman"/>
          <w:b w:val="false"/>
          <w:i w:val="false"/>
          <w:color w:val="000000"/>
          <w:sz w:val="22"/>
        </w:rPr>
        <w:t>(iv) Providing a quarterly forecast update of the (minimum of two (2)) projects identified for peer review to the DLA Acquisition Operations Division by the 15th of, December, March, and June. Provide the forecast using the following format:</w:t>
      </w:r>
    </w:p>
    <w:p>
      <w:pPr>
        <w:pBdr>
          <w:top w:space="5"/>
          <w:left w:space="5"/>
          <w:bottom w:space="5"/>
          <w:right w:space="5"/>
        </w:pBdr>
        <w:spacing w:after="0"/>
        <w:ind w:left="225"/>
        <w:jc w:val="center"/>
      </w:pPr>
      <w:r>
        <w:rPr>
          <w:rFonts w:ascii="Times New Roman" w:hAnsi="Times New Roman"/>
          <w:b/>
          <w:i w:val="false"/>
          <w:color w:val="000000"/>
          <w:sz w:val="22"/>
        </w:rPr>
        <w:t>DLA</w:t>
      </w:r>
      <w:r>
        <w:rPr>
          <w:rFonts w:ascii="Times New Roman" w:hAnsi="Times New Roman"/>
          <w:b/>
          <w:i w:val="false"/>
          <w:color w:val="000000"/>
          <w:sz w:val="22"/>
        </w:rPr>
        <w:t>PEER REVIEW FORECAST</w:t>
      </w:r>
    </w:p>
    <w:p>
      <w:pPr>
        <w:pBdr>
          <w:top w:space="5"/>
          <w:left w:space="5"/>
          <w:bottom w:space="5"/>
          <w:right w:space="5"/>
        </w:pBdr>
        <w:spacing w:after="0"/>
        <w:ind w:left="225"/>
        <w:jc w:val="center"/>
      </w:pPr>
      <w:r>
        <w:rPr>
          <w:rFonts w:ascii="Times New Roman" w:hAnsi="Times New Roman"/>
          <w:b/>
          <w:i w:val="false"/>
          <w:color w:val="000000"/>
          <w:sz w:val="22"/>
        </w:rPr>
        <w:t>Fiscal Year 20XX – Oct-Dec</w:t>
      </w:r>
    </w:p>
    <w:p>
      <w:pPr>
        <w:pBdr>
          <w:top w:space="5"/>
          <w:left w:space="5"/>
          <w:bottom w:space="5"/>
          <w:right w:space="5"/>
        </w:pBdr>
        <w:spacing w:after="0"/>
        <w:ind w:left="225"/>
        <w:jc w:val="left"/>
      </w:pPr>
      <w:r>
        <w:rPr>
          <w:rFonts w:ascii="Times New Roman" w:hAnsi="Times New Roman"/>
          <w:b/>
          <w:i w:val="false"/>
          <w:color w:val="000000"/>
          <w:sz w:val="22"/>
        </w:rPr>
        <w:t>PREAWARD – COMPETITIVE</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194"/>
        <w:gridCol w:w="2114"/>
        <w:gridCol w:w="1643"/>
        <w:gridCol w:w="1847"/>
        <w:gridCol w:w="2007"/>
        <w:gridCol w:w="1847"/>
        <w:gridCol w:w="1723"/>
        <w:gridCol w:w="1847"/>
        <w:gridCol w:w="1723"/>
        <w:gridCol w:w="1643"/>
      </w:tblGrid>
      <w:tr>
        <w:trPr>
          <w:trHeight w:val="1920" w:hRule="atLeast"/>
        </w:trPr>
        <w:tc>
          <w:tcPr>
            <w:tcW w:w="2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Procuring Organization</w:t>
            </w:r>
          </w:p>
        </w:tc>
        <w:tc>
          <w:tcPr>
            <w:tcW w:w="21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Program/Acquisition Name/Description</w:t>
            </w:r>
          </w:p>
        </w:tc>
        <w:tc>
          <w:tcPr>
            <w:tcW w:w="16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Amount</w:t>
            </w:r>
          </w:p>
        </w:tc>
        <w:tc>
          <w:tcPr>
            <w:tcW w:w="1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1 Peer Review Date</w:t>
            </w:r>
          </w:p>
        </w:tc>
        <w:tc>
          <w:tcPr>
            <w:tcW w:w="20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Solicitation Issuance</w:t>
            </w:r>
          </w:p>
        </w:tc>
        <w:tc>
          <w:tcPr>
            <w:tcW w:w="1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2 Peer Review Date</w:t>
            </w:r>
          </w:p>
        </w:tc>
        <w:tc>
          <w:tcPr>
            <w:tcW w:w="1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Request for Final Proposal Revisions</w:t>
            </w:r>
          </w:p>
        </w:tc>
        <w:tc>
          <w:tcPr>
            <w:tcW w:w="1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3 Peer Review Date</w:t>
            </w:r>
          </w:p>
        </w:tc>
        <w:tc>
          <w:tcPr>
            <w:tcW w:w="1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Contract Award</w:t>
            </w:r>
          </w:p>
        </w:tc>
        <w:tc>
          <w:tcPr>
            <w:tcW w:w="16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Notes</w:t>
            </w:r>
          </w:p>
        </w:tc>
      </w:tr>
      <w:tr>
        <w:trPr>
          <w:trHeight w:val="810" w:hRule="atLeast"/>
        </w:trPr>
        <w:tc>
          <w:tcPr>
            <w:tcW w:w="21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1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00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r>
    </w:tbl>
    <w:p>
      <w:pPr>
        <w:pBdr>
          <w:top w:space="5"/>
          <w:left w:space="5"/>
          <w:bottom w:space="5"/>
          <w:right w:space="5"/>
        </w:pBdr>
        <w:spacing w:after="0"/>
        <w:ind w:left="225"/>
        <w:jc w:val="left"/>
      </w:pPr>
      <w:r>
        <w:rPr>
          <w:rFonts w:ascii="Times New Roman" w:hAnsi="Times New Roman"/>
          <w:b/>
          <w:i w:val="false"/>
          <w:color w:val="000000"/>
          <w:sz w:val="22"/>
        </w:rPr>
        <w:t>PREAWARD – NONCOMPETITIVE</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847"/>
        <w:gridCol w:w="2114"/>
        <w:gridCol w:w="1643"/>
        <w:gridCol w:w="1847"/>
        <w:gridCol w:w="2043"/>
        <w:gridCol w:w="1847"/>
        <w:gridCol w:w="1723"/>
        <w:gridCol w:w="1723"/>
        <w:gridCol w:w="1643"/>
      </w:tblGrid>
      <w:tr>
        <w:trPr>
          <w:trHeight w:val="1920" w:hRule="atLeast"/>
        </w:trPr>
        <w:tc>
          <w:tcPr>
            <w:tcW w:w="1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Procuring Organiza</w:t>
            </w:r>
            <w:r>
              <w:rPr>
                <w:rFonts w:ascii="Times New Roman" w:hAnsi="Times New Roman"/>
                <w:b/>
                <w:i w:val="false"/>
                <w:color w:val="000000"/>
                <w:sz w:val="22"/>
              </w:rPr>
              <w:t>tion</w:t>
            </w:r>
          </w:p>
        </w:tc>
        <w:tc>
          <w:tcPr>
            <w:tcW w:w="21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Program/Acquisition Name/ Description</w:t>
            </w:r>
          </w:p>
        </w:tc>
        <w:tc>
          <w:tcPr>
            <w:tcW w:w="16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Amount</w:t>
            </w:r>
          </w:p>
        </w:tc>
        <w:tc>
          <w:tcPr>
            <w:tcW w:w="1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1 Peer Review Date</w:t>
            </w:r>
          </w:p>
        </w:tc>
        <w:tc>
          <w:tcPr>
            <w:tcW w:w="20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Negotiation Issuance</w:t>
            </w:r>
          </w:p>
        </w:tc>
        <w:tc>
          <w:tcPr>
            <w:tcW w:w="1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2 Peer Review Date</w:t>
            </w:r>
          </w:p>
        </w:tc>
        <w:tc>
          <w:tcPr>
            <w:tcW w:w="1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Request for Final Proposal Revisions</w:t>
            </w:r>
          </w:p>
        </w:tc>
        <w:tc>
          <w:tcPr>
            <w:tcW w:w="1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Contract Award</w:t>
            </w:r>
          </w:p>
        </w:tc>
        <w:tc>
          <w:tcPr>
            <w:tcW w:w="16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Notes</w:t>
            </w:r>
          </w:p>
        </w:tc>
      </w:tr>
      <w:tr>
        <w:trPr>
          <w:trHeight w:val="810" w:hRule="atLeast"/>
        </w:trPr>
        <w:tc>
          <w:tcPr>
            <w:tcW w:w="1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11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0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r>
    </w:tbl>
    <w:p>
      <w:pPr>
        <w:pBdr>
          <w:top w:space="5"/>
          <w:left w:space="5"/>
          <w:bottom w:space="5"/>
          <w:right w:space="5"/>
        </w:pBdr>
        <w:spacing w:after="0"/>
        <w:ind w:left="945"/>
        <w:jc w:val="left"/>
      </w:pPr>
      <w:r>
        <w:rPr>
          <w:rFonts w:ascii="Times New Roman" w:hAnsi="Times New Roman"/>
          <w:b w:val="false"/>
          <w:i w:val="false"/>
          <w:color w:val="000000"/>
          <w:sz w:val="22"/>
        </w:rPr>
        <w:t>(v) Providing a copy of the DLA peer review recommendations and the contracting officer’s disposition of the recommendations, for each phase of review, to the DLA Acquisition Operations Division program manager.</w:t>
      </w:r>
    </w:p>
    <w:p>
      <w:pPr>
        <w:pBdr>
          <w:top w:space="5"/>
          <w:left w:space="5"/>
          <w:bottom w:space="5"/>
          <w:right w:space="5"/>
        </w:pBdr>
        <w:spacing w:after="0"/>
        <w:ind w:left="585"/>
        <w:jc w:val="left"/>
      </w:pPr>
      <w:r>
        <w:rPr>
          <w:rFonts w:ascii="Times New Roman" w:hAnsi="Times New Roman"/>
          <w:b w:val="false"/>
          <w:i w:val="false"/>
          <w:color w:val="000000"/>
          <w:sz w:val="22"/>
        </w:rPr>
        <w:t>(2) The HCA shall ensure the review team includes representatives from other DLA procuring organizations (two DAWIA Level III Acquisition, one Office of Counsel, and one Small Business Programs). The senior member chairs the review team.</w:t>
      </w:r>
    </w:p>
    <w:p>
      <w:pPr>
        <w:pBdr>
          <w:top w:space="5"/>
          <w:left w:space="5"/>
          <w:bottom w:space="5"/>
          <w:right w:space="5"/>
        </w:pBdr>
        <w:spacing w:after="0"/>
        <w:ind w:left="585"/>
        <w:jc w:val="left"/>
      </w:pPr>
      <w:r>
        <w:rPr>
          <w:rFonts w:ascii="Times New Roman" w:hAnsi="Times New Roman"/>
          <w:b w:val="false"/>
          <w:i w:val="false"/>
          <w:color w:val="000000"/>
          <w:sz w:val="22"/>
        </w:rPr>
        <w:t>(3) The DLA Acquisition Operations Division is responsible for oversight of peer reviews.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