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2" w:id="0"/>
      <w:r>
        <w:rPr>
          <w:rFonts w:ascii="Times New Roman" w:hAnsi="Times New Roman"/>
          <w:color w:val="000000"/>
        </w:rPr>
        <w:t>PART 12</w:t>
      </w:r>
      <w:r>
        <w:rPr>
          <w:rFonts w:ascii="Times New Roman" w:hAnsi="Times New Roman"/>
          <w:color w:val="000000"/>
        </w:rPr>
        <w:t xml:space="preserve"> – ACQUISITION OF COMMERCIAL ITEMS</w:t>
      </w:r>
      <w:bookmarkEnd w:id="0"/>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1"/>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2"/>
      <w:r>
        <w:rPr>
          <w:rFonts w:ascii="Times New Roman" w:hAnsi="Times New Roman"/>
          <w:color w:val="000000"/>
          <w:sz w:val="31"/>
        </w:rPr>
        <w:t>12.102</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3"/>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4"/>
      <w:r>
        <w:rPr>
          <w:rFonts w:ascii="Times New Roman" w:hAnsi="Times New Roman"/>
          <w:color w:val="000000"/>
          <w:sz w:val="31"/>
        </w:rPr>
        <w:t>12.208</w:t>
      </w:r>
      <w:r>
        <w:rPr>
          <w:rFonts w:ascii="Times New Roman" w:hAnsi="Times New Roman"/>
          <w:color w:val="000000"/>
          <w:sz w:val="31"/>
        </w:rPr>
        <w:t>Contract quality assurance.</w:t>
      </w:r>
      <w:bookmarkEnd w:id="4"/>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5"/>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5"/>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6"/>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dcd1d9cce05949cb">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7"/>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hyperlink w:anchor="DLAD_SUBPART_13_3">
        <w:r>
          <w:rPr>
            <w:rStyle w:val="Hyperlink"/>
            <w:rFonts w:ascii="Times New Roman" w:hAnsi="Times New Roman"/>
            <w:b w:val="false"/>
            <w:i w:val="false"/>
            <w:color w:val="0000ff"/>
            <w:sz w:val="22"/>
            <w:u w:val="single"/>
          </w:rPr>
          <w:t>SUBPART 13.3</w:t>
        </w:r>
      </w:hyperlink>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8"/>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8"/>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9"/>
      <w:r>
        <w:rPr>
          <w:rFonts w:ascii="Times New Roman" w:hAnsi="Times New Roman"/>
          <w:color w:val="000000"/>
          <w:sz w:val="31"/>
        </w:rPr>
        <w:t>12.403</w:t>
      </w:r>
      <w:r>
        <w:rPr>
          <w:rFonts w:ascii="Times New Roman" w:hAnsi="Times New Roman"/>
          <w:color w:val="000000"/>
          <w:sz w:val="31"/>
        </w:rPr>
        <w:t xml:space="preserve"> Termination.</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10"/>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10"/>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11"/>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11"/>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w:sectPr>
      <w:pgSz w:w="12240" w:h="15840" w:code="1"/>
      <w:pgMar w:top="1440" w:right="1440" w:bottom="1440" w:left="1440"/>
      <w:pgNumType w:start="1"/>
      <w:footerReference w:type="default" r:id="R77e7eac5af1949a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7e7eac5af1949a1" /><Relationship Type="http://schemas.openxmlformats.org/officeDocument/2006/relationships/hyperlink" Target="SUBPART_12.1.dita#DLAD_SUBPART_12_1" TargetMode="External" Id="R3125feeada2b4f19" /><Relationship Type="http://schemas.openxmlformats.org/officeDocument/2006/relationships/hyperlink" Target="12.102.dita#DLAD_12_102" TargetMode="External" Id="R5c6a5a7f67204d90" /><Relationship Type="http://schemas.openxmlformats.org/officeDocument/2006/relationships/hyperlink" Target="SUBPART_12.2.dita#DLAD_SUBPART_12_2" TargetMode="External" Id="R399793e13d4f4cb8" /><Relationship Type="http://schemas.openxmlformats.org/officeDocument/2006/relationships/hyperlink" Target="12.208.dita#DLAD_12_208" TargetMode="External" Id="Ra7f7e3d8f91a4fb4" /><Relationship Type="http://schemas.openxmlformats.org/officeDocument/2006/relationships/hyperlink" Target="SUBPART_12.3.dita#DLAD_SUBPART_12_3" TargetMode="External" Id="R72f86ab26a344014" /><Relationship Type="http://schemas.openxmlformats.org/officeDocument/2006/relationships/hyperlink" Target="12.301.dita#DLAD_12_301" TargetMode="External" Id="R3076cd5fcc514154" /><Relationship Type="http://schemas.openxmlformats.org/officeDocument/2006/relationships/hyperlink" Target="12.302.dita#DLAD_12_302" TargetMode="External" Id="R69f3d2afa7e5403e" /><Relationship Type="http://schemas.openxmlformats.org/officeDocument/2006/relationships/hyperlink" Target="SUBPART_12.4.dita#DLAD_SUBPART_12_4" TargetMode="External" Id="Rb73f2a1f292a48a2" /><Relationship Type="http://schemas.openxmlformats.org/officeDocument/2006/relationships/hyperlink" Target="12.403.dita#DLAD_12_403" TargetMode="External" Id="R3f08e11714d64f06" /><Relationship Type="http://schemas.openxmlformats.org/officeDocument/2006/relationships/hyperlink" Target="SUBPART_12.5.dita#DLAD_SUBPART_12_5" TargetMode="External" Id="Rbc86fb06f4304ad1" /><Relationship Type="http://schemas.openxmlformats.org/officeDocument/2006/relationships/hyperlink" Target="12.504.dita#DLAD_12_504" TargetMode="External" Id="R008574f51ae74e4c" /><Relationship Type="http://schemas.openxmlformats.org/officeDocument/2006/relationships/hyperlink" Target="12.302.dita#DLAD_12_302/rrtye" TargetMode="External" Id="R4e518d8f2cf54503" /><Relationship Type="http://schemas.openxmlformats.org/officeDocument/2006/relationships/hyperlink" Target="12.208.dita#DLAD_12_208" TargetMode="External" Id="R03b124cd49514e4b" /><Relationship Type="http://schemas.openxmlformats.org/officeDocument/2006/relationships/hyperlink" Target="11.391.dita#DLAD_11_391" TargetMode="External" Id="R28d9b039dbbe4318" /><Relationship Type="http://schemas.openxmlformats.org/officeDocument/2006/relationships/hyperlink" Target="11.391.dita#DLAD_11_391" TargetMode="External" Id="R7ae07ea54bd64706" /><Relationship Type="http://schemas.openxmlformats.org/officeDocument/2006/relationships/hyperlink" Target="11.391.dita#DLAD_11_391" TargetMode="External" Id="R194ada6f632c497a" /><Relationship Type="http://schemas.openxmlformats.org/officeDocument/2006/relationships/hyperlink" Target="11.9001.dita#DLAD_11_9001" TargetMode="External" Id="R6de60ec21ca24f04" /><Relationship Type="http://schemas.openxmlformats.org/officeDocument/2006/relationships/hyperlink" Target="4.703.dita#DLAD_4_703" TargetMode="External" Id="Rdbed219177d54726" /><Relationship Type="http://schemas.openxmlformats.org/officeDocument/2006/relationships/hyperlink" Target="9.270-3.dita#DLAD_9_270-3" TargetMode="External" Id="R212081ba90c4453d" /><Relationship Type="http://schemas.openxmlformats.org/officeDocument/2006/relationships/hyperlink" Target="11.390.dita#DLAD_11_390" TargetMode="External" Id="Rb3dfd347265c462b" /><Relationship Type="http://schemas.openxmlformats.org/officeDocument/2006/relationships/hyperlink" Target="11.390.dita#DLAD_11_390" TargetMode="External" Id="R5fff227d36ae424a" /><Relationship Type="http://schemas.openxmlformats.org/officeDocument/2006/relationships/hyperlink" Target="9.202.dita#DLAD_9_202" TargetMode="External" Id="R0c8e85ac24d045d5" /><Relationship Type="http://schemas.openxmlformats.org/officeDocument/2006/relationships/hyperlink" Target="9.202.dita#DLAD_9_202" TargetMode="External" Id="R264d6ea7197a4e39" /><Relationship Type="http://schemas.openxmlformats.org/officeDocument/2006/relationships/hyperlink" Target="9.202.dita#DLAD_9_202" TargetMode="External" Id="R62f4759a71284b73" /><Relationship Type="http://schemas.openxmlformats.org/officeDocument/2006/relationships/hyperlink" Target="9.202.dita#DLAD_9_202" TargetMode="External" Id="R0efc06cd30a948e9" /><Relationship Type="http://schemas.openxmlformats.org/officeDocument/2006/relationships/hyperlink" Target="4.502.dita#DLAD_4_502" TargetMode="External" Id="R40cb123437644f36" /><Relationship Type="http://schemas.openxmlformats.org/officeDocument/2006/relationships/hyperlink" Target="37.103.dita#DLAD_37_103" TargetMode="External" Id="R06cf1a98b01141d6" /><Relationship Type="http://schemas.openxmlformats.org/officeDocument/2006/relationships/hyperlink" Target="33.214.dita#DLAD_33_214" TargetMode="External" Id="Rd2770a543e854d59" /><Relationship Type="http://schemas.openxmlformats.org/officeDocument/2006/relationships/hyperlink" Target="33.103.dita#DLAD_33_103" TargetMode="External" Id="R676c290f957e48e6" /><Relationship Type="http://schemas.openxmlformats.org/officeDocument/2006/relationships/hyperlink" Target="37.110.dita#DLAD_37_110" TargetMode="External" Id="R78676b0c796b456d" /><Relationship Type="http://schemas.openxmlformats.org/officeDocument/2006/relationships/hyperlink" Target="9.306.dita#DLAD_9_306" TargetMode="External" Id="R6587594edbf84cd2" /><Relationship Type="http://schemas.openxmlformats.org/officeDocument/2006/relationships/hyperlink" Target="9.306.dita#DLAD_9_306" TargetMode="External" Id="R9fbf43dcd8c549b7" /><Relationship Type="http://schemas.openxmlformats.org/officeDocument/2006/relationships/hyperlink" Target="9.306.dita#DLAD_9_306" TargetMode="External" Id="Ra26d353d1b1b4743" /><Relationship Type="http://schemas.openxmlformats.org/officeDocument/2006/relationships/hyperlink" Target="15.303.dita#DLAD_15_303" TargetMode="External" Id="R03a40058900e4908" /><Relationship Type="http://schemas.openxmlformats.org/officeDocument/2006/relationships/hyperlink" Target="15.407-90.dita#DLAD_15_407-90" TargetMode="External" Id="R7bb8c5df5e9642f4" /><Relationship Type="http://schemas.openxmlformats.org/officeDocument/2006/relationships/hyperlink" Target="15.407-90.dita#DLAD_15_407-90" TargetMode="External" Id="R55333db0360a4ce2" /><Relationship Type="http://schemas.openxmlformats.org/officeDocument/2006/relationships/hyperlink" Target="http://farsite.hill.af.mil/reghtml/regs/far2afmcfars/fardfars/far/52_246.htm" TargetMode="External" Id="Rdcd1d9cce05949cb" /><Relationship Type="http://schemas.openxmlformats.org/officeDocument/2006/relationships/hyperlink" Target="SUBPART_13.3.dita#DLAD_SUBPART_13_3" TargetMode="External" Id="R105dc149a307477b" /><Relationship Type="http://schemas.openxmlformats.org/officeDocument/2006/relationships/hyperlink" Target="12.301.dita#DLAD_12_301/23Red" TargetMode="External" Id="R6c6177533ea446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