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5" w:id="0"/>
      <w:r>
        <w:rPr>
          <w:rFonts w:ascii="Times New Roman" w:hAnsi="Times New Roman"/>
          <w:color w:val="000000"/>
        </w:rPr>
        <w:t>PART 25</w:t>
      </w:r>
      <w:r>
        <w:rPr>
          <w:rFonts w:ascii="Times New Roman" w:hAnsi="Times New Roman"/>
          <w:color w:val="000000"/>
        </w:rPr>
        <w:t xml:space="preserve"> – FOREIGN ACQUISITION</w:t>
      </w:r>
      <w:bookmarkEnd w:id="0"/>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1"/>
      <w:r>
        <w:rPr>
          <w:rFonts w:ascii="Times New Roman" w:hAnsi="Times New Roman"/>
          <w:color w:val="000000"/>
          <w:sz w:val="36"/>
        </w:rPr>
        <w:t>SUBPART 25.1</w:t>
      </w:r>
      <w:r>
        <w:rPr>
          <w:rFonts w:ascii="Times New Roman" w:hAnsi="Times New Roman"/>
          <w:color w:val="000000"/>
          <w:sz w:val="36"/>
        </w:rPr>
        <w:t xml:space="preserve"> – BUY AMERICAN ACT – SUPPLIES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2"/>
      <w:r>
        <w:rPr>
          <w:rFonts w:ascii="Times New Roman" w:hAnsi="Times New Roman"/>
          <w:color w:val="000000"/>
          <w:sz w:val="31"/>
        </w:rPr>
        <w:t>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4"/>
      <w:r>
        <w:rPr>
          <w:rFonts w:ascii="Times New Roman" w:hAnsi="Times New Roman"/>
          <w:color w:val="000000"/>
          <w:sz w:val="31"/>
        </w:rPr>
        <w:t>25.802-71</w:t>
      </w:r>
      <w:r>
        <w:rPr>
          <w:rFonts w:ascii="Times New Roman" w:hAnsi="Times New Roman"/>
          <w:color w:val="000000"/>
          <w:sz w:val="31"/>
        </w:rPr>
        <w:t xml:space="preserve"> End use certificates.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6a8e9fd04d0d4a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99b14669b8474b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5"/>
      <w:r>
        <w:rPr>
          <w:rFonts w:ascii="Times New Roman" w:hAnsi="Times New Roman"/>
          <w:color w:val="000000"/>
          <w:sz w:val="36"/>
        </w:rPr>
        <w:t>SUBPART 25.9</w:t>
      </w:r>
      <w:r>
        <w:rPr>
          <w:rFonts w:ascii="Times New Roman" w:hAnsi="Times New Roman"/>
          <w:color w:val="000000"/>
          <w:sz w:val="36"/>
        </w:rPr>
        <w:t xml:space="preserve"> – CUSTOMS AND DUTIES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6"/>
      <w:r>
        <w:rPr>
          <w:rFonts w:ascii="Times New Roman" w:hAnsi="Times New Roman"/>
          <w:color w:val="000000"/>
          <w:sz w:val="31"/>
        </w:rPr>
        <w:t>25.903</w:t>
      </w:r>
      <w:r>
        <w:rPr>
          <w:rFonts w:ascii="Times New Roman" w:hAnsi="Times New Roman"/>
          <w:color w:val="000000"/>
          <w:sz w:val="31"/>
        </w:rPr>
        <w:t xml:space="preserve"> Exempted supplies.</w:t>
      </w:r>
      <w:bookmarkEnd w:id="6"/>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7"/>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8"/>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9"/>
      <w:r>
        <w:rPr>
          <w:rFonts w:ascii="Times New Roman" w:hAnsi="Times New Roman"/>
          <w:color w:val="000000"/>
          <w:sz w:val="31"/>
        </w:rPr>
        <w:t>25.7002-2</w:t>
      </w:r>
      <w:r>
        <w:rPr>
          <w:rFonts w:ascii="Times New Roman" w:hAnsi="Times New Roman"/>
          <w:color w:val="000000"/>
          <w:sz w:val="31"/>
        </w:rPr>
        <w:t xml:space="preserve"> Exceptions.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10"/>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11"/>
      <w:r>
        <w:rPr>
          <w:rFonts w:ascii="Times New Roman" w:hAnsi="Times New Roman"/>
          <w:color w:val="000000"/>
          <w:sz w:val="31"/>
        </w:rPr>
        <w:t>25.7301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12"/>
      <w:r>
        <w:rPr>
          <w:rFonts w:ascii="Times New Roman" w:hAnsi="Times New Roman"/>
          <w:color w:val="000000"/>
          <w:sz w:val="36"/>
        </w:rPr>
        <w:t>SUBPART 25.79</w:t>
      </w:r>
      <w:r>
        <w:rPr>
          <w:rFonts w:ascii="Times New Roman" w:hAnsi="Times New Roman"/>
          <w:color w:val="000000"/>
          <w:sz w:val="36"/>
        </w:rPr>
        <w:t xml:space="preserve"> – EXPORT CONTROL</w:t>
      </w:r>
      <w:bookmarkEnd w:id="12"/>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13"/>
      <w:r>
        <w:rPr>
          <w:rFonts w:ascii="Times New Roman" w:hAnsi="Times New Roman"/>
          <w:color w:val="000000"/>
          <w:sz w:val="31"/>
        </w:rPr>
        <w:t>25.7901</w:t>
      </w:r>
      <w:r>
        <w:rPr>
          <w:rFonts w:ascii="Times New Roman" w:hAnsi="Times New Roman"/>
          <w:color w:val="000000"/>
          <w:sz w:val="31"/>
        </w:rPr>
        <w:t xml:space="preserve"> Export–controlled items.</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14"/>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15"/>
      <w:r>
        <w:rPr>
          <w:rFonts w:ascii="Times New Roman" w:hAnsi="Times New Roman"/>
          <w:color w:val="000000"/>
          <w:sz w:val="31"/>
        </w:rPr>
        <w:t>25.7902-4</w:t>
      </w:r>
      <w:r>
        <w:rPr>
          <w:rFonts w:ascii="Times New Roman" w:hAnsi="Times New Roman"/>
          <w:color w:val="000000"/>
          <w:sz w:val="31"/>
        </w:rPr>
        <w:t xml:space="preserve">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f832b0a06d9348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911bd73fceb846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1674e91cf1794c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w:pgSz w:w="12240" w:h="15840" w:code="1"/>
      <w:pgMar w:top="1440" w:right="1440" w:bottom="1440" w:left="1440"/>
      <w:pgNumType w:start="1"/>
      <w:footerReference w:type="default" r:id="R65ce3d2110794a0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5ce3d2110794a0c" /><Relationship Type="http://schemas.openxmlformats.org/officeDocument/2006/relationships/hyperlink" Target="SUBPART_25.1.dita#DLAD_SUBPART_25_1" TargetMode="External" Id="Re3b3129a413a4c1e" /><Relationship Type="http://schemas.openxmlformats.org/officeDocument/2006/relationships/hyperlink" Target="25.103.dita#DLAD_25_103" TargetMode="External" Id="R0b2c7c35d61a4e31" /><Relationship Type="http://schemas.openxmlformats.org/officeDocument/2006/relationships/hyperlink" Target="SUBPART_25.8.dita#DLAD_SUBPART_25_8" TargetMode="External" Id="R1c5026c129944e32" /><Relationship Type="http://schemas.openxmlformats.org/officeDocument/2006/relationships/hyperlink" Target="25.802-71.dita#DLAD_25_802-71" TargetMode="External" Id="Rc11735ca260a4a34" /><Relationship Type="http://schemas.openxmlformats.org/officeDocument/2006/relationships/hyperlink" Target="SUBPART_25.9.dita#DLAD_SUBPART_25_9" TargetMode="External" Id="Ra6aeed77bc6449e3" /><Relationship Type="http://schemas.openxmlformats.org/officeDocument/2006/relationships/hyperlink" Target="25.903.dita#DLAD_25_903" TargetMode="External" Id="R403fd88f68314ce4" /><Relationship Type="http://schemas.openxmlformats.org/officeDocument/2006/relationships/hyperlink" Target="SUBPART_25.70.dita#DLAD_SUBPART_25_70" TargetMode="External" Id="Refbf08071e00412d" /><Relationship Type="http://schemas.openxmlformats.org/officeDocument/2006/relationships/hyperlink" Target="25.7002.dita#DLAD_25_7002" TargetMode="External" Id="R2d5a42523a3540ce" /><Relationship Type="http://schemas.openxmlformats.org/officeDocument/2006/relationships/hyperlink" Target="25.7002-2.dita#DLAD_25_7002-2" TargetMode="External" Id="R88bb03ffb04043b0" /><Relationship Type="http://schemas.openxmlformats.org/officeDocument/2006/relationships/hyperlink" Target="SUBPART_25.73.dita#DLAD_SUBPART_25_73" TargetMode="External" Id="R972ea9c50c844246" /><Relationship Type="http://schemas.openxmlformats.org/officeDocument/2006/relationships/hyperlink" Target="25.7301.dita#DLAD_25_7301" TargetMode="External" Id="R68c94d2522b648a9" /><Relationship Type="http://schemas.openxmlformats.org/officeDocument/2006/relationships/hyperlink" Target="SUBPART_25.79.dita#DLAD_SUBPART_25_79" TargetMode="External" Id="Rb6cbd14d2cf5418a" /><Relationship Type="http://schemas.openxmlformats.org/officeDocument/2006/relationships/hyperlink" Target="25.7901.dita#DLAD_25_7901" TargetMode="External" Id="R23ad7aa70fa341a4" /><Relationship Type="http://schemas.openxmlformats.org/officeDocument/2006/relationships/hyperlink" Target="25.7901-1.dita#DLAD_25_7901-1" TargetMode="External" Id="Reb8099f3c8d6410a" /><Relationship Type="http://schemas.openxmlformats.org/officeDocument/2006/relationships/hyperlink" Target="25.7902-4.dita#DLAD_25_7902-4" TargetMode="External" Id="R36dc9e4c648546f7" /><Relationship Type="http://schemas.openxmlformats.org/officeDocument/2006/relationships/hyperlink" Target="https://www.esd.whs.mil/Portals/54/Documents/DD/issuances/dodd/204003p.pdf" TargetMode="External" Id="R6a8e9fd04d0d4a2f" /><Relationship Type="http://schemas.openxmlformats.org/officeDocument/2006/relationships/hyperlink" Target="https://www.esd.whs.mil/Portals/54/Documents/DD/issuances/dodd/204003p.pdf" TargetMode="External" Id="R99b14669b8474bb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f832b0a06d9348b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911bd73fceb846b3" /><Relationship Type="http://schemas.openxmlformats.org/officeDocument/2006/relationships/hyperlink" Target="mailto:DLAJ344DataCustodian@dla.mil" TargetMode="External" Id="R1674e91cf1794c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